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A3B7" w14:textId="6FB1FEC5" w:rsidR="00D14E61" w:rsidRPr="00DA37FF" w:rsidRDefault="00D14E61" w:rsidP="00D14E61">
      <w:pPr>
        <w:jc w:val="center"/>
        <w:outlineLvl w:val="0"/>
        <w:rPr>
          <w:rFonts w:ascii="Nunito" w:hAnsi="Nunito" w:cs="Arial"/>
          <w:b/>
          <w:color w:val="1F3864" w:themeColor="accent1" w:themeShade="80"/>
          <w:sz w:val="28"/>
          <w:szCs w:val="32"/>
        </w:rPr>
      </w:pPr>
      <w:r w:rsidRPr="00DA37FF">
        <w:rPr>
          <w:rFonts w:ascii="Nunito" w:hAnsi="Nunito" w:cs="Arial"/>
          <w:b/>
          <w:color w:val="1F3864" w:themeColor="accent1" w:themeShade="80"/>
          <w:sz w:val="28"/>
          <w:szCs w:val="32"/>
        </w:rPr>
        <w:t xml:space="preserve">Job Description </w:t>
      </w:r>
    </w:p>
    <w:p w14:paraId="1DEFAEC6" w14:textId="77777777" w:rsidR="00D14E61" w:rsidRPr="00DA37FF" w:rsidRDefault="00D14E61" w:rsidP="00D14E61">
      <w:pPr>
        <w:jc w:val="both"/>
        <w:rPr>
          <w:rFonts w:ascii="Nunito" w:hAnsi="Nunito" w:cs="Arial"/>
          <w:bCs/>
          <w:color w:val="1F3864" w:themeColor="accent1" w:themeShade="80"/>
          <w:sz w:val="22"/>
        </w:rPr>
      </w:pPr>
    </w:p>
    <w:p w14:paraId="0F10AF2F" w14:textId="77777777" w:rsidR="00D14E61" w:rsidRPr="00DA37FF" w:rsidRDefault="00D14E61" w:rsidP="00D14E61">
      <w:pPr>
        <w:rPr>
          <w:rFonts w:ascii="Nunito" w:hAnsi="Nunito" w:cs="Arial"/>
          <w:bCs/>
          <w:color w:val="1F3864" w:themeColor="accent1" w:themeShade="80"/>
          <w:sz w:val="22"/>
        </w:rPr>
      </w:pPr>
    </w:p>
    <w:p w14:paraId="0E1D5BF8" w14:textId="77777777" w:rsidR="00D14E61" w:rsidRPr="00DA37FF" w:rsidRDefault="00D14E61" w:rsidP="00D14E61">
      <w:pPr>
        <w:rPr>
          <w:rFonts w:ascii="Nunito" w:hAnsi="Nunito" w:cs="Arial"/>
          <w:bCs/>
          <w:color w:val="1F3864" w:themeColor="accent1" w:themeShade="80"/>
          <w:sz w:val="22"/>
        </w:rPr>
      </w:pPr>
      <w:r w:rsidRPr="00DA37FF">
        <w:rPr>
          <w:rFonts w:ascii="Nunito" w:hAnsi="Nunito" w:cs="Arial"/>
          <w:b/>
          <w:color w:val="1F3864" w:themeColor="accent1" w:themeShade="80"/>
          <w:sz w:val="22"/>
        </w:rPr>
        <w:t>1. Job Details</w:t>
      </w:r>
    </w:p>
    <w:p w14:paraId="175DEDEC" w14:textId="77777777" w:rsidR="00D14E61" w:rsidRPr="00DA37FF" w:rsidRDefault="00D14E61" w:rsidP="00D14E61">
      <w:pPr>
        <w:rPr>
          <w:rFonts w:ascii="Nunito" w:hAnsi="Nunito" w:cs="Arial"/>
          <w:bCs/>
          <w:color w:val="1F3864" w:themeColor="accent1" w:themeShade="80"/>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492"/>
        <w:gridCol w:w="2552"/>
      </w:tblGrid>
      <w:tr w:rsidR="00DA37FF" w:rsidRPr="00DA37FF" w14:paraId="2B854549" w14:textId="77777777" w:rsidTr="00495452">
        <w:tc>
          <w:tcPr>
            <w:tcW w:w="1843" w:type="dxa"/>
            <w:tcBorders>
              <w:top w:val="single" w:sz="4" w:space="0" w:color="auto"/>
              <w:left w:val="single" w:sz="4" w:space="0" w:color="auto"/>
              <w:bottom w:val="single" w:sz="4" w:space="0" w:color="auto"/>
              <w:right w:val="single" w:sz="4" w:space="0" w:color="auto"/>
            </w:tcBorders>
            <w:shd w:val="clear" w:color="auto" w:fill="D9E2F3"/>
          </w:tcPr>
          <w:p w14:paraId="097D2C63" w14:textId="208CB8DD"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Job Title</w:t>
            </w:r>
          </w:p>
          <w:p w14:paraId="221C878A" w14:textId="77777777" w:rsidR="00D14E61" w:rsidRPr="00DA37FF" w:rsidRDefault="00D14E61" w:rsidP="00495452">
            <w:pPr>
              <w:rPr>
                <w:rFonts w:ascii="Nunito" w:hAnsi="Nunito" w:cs="Arial"/>
                <w:bCs/>
                <w:color w:val="1F3864" w:themeColor="accent1" w:themeShade="80"/>
                <w:sz w:val="22"/>
              </w:rPr>
            </w:pPr>
          </w:p>
        </w:tc>
        <w:tc>
          <w:tcPr>
            <w:tcW w:w="2335" w:type="dxa"/>
            <w:tcBorders>
              <w:top w:val="single" w:sz="4" w:space="0" w:color="auto"/>
              <w:left w:val="single" w:sz="4" w:space="0" w:color="auto"/>
              <w:bottom w:val="single" w:sz="4" w:space="0" w:color="auto"/>
              <w:right w:val="single" w:sz="4" w:space="0" w:color="auto"/>
            </w:tcBorders>
          </w:tcPr>
          <w:p w14:paraId="3B888E1A" w14:textId="6E74421A"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 xml:space="preserve">ACES </w:t>
            </w:r>
            <w:r w:rsidR="00221C12">
              <w:rPr>
                <w:rFonts w:ascii="Nunito" w:hAnsi="Nunito" w:cs="Arial"/>
                <w:bCs/>
                <w:color w:val="1F3864" w:themeColor="accent1" w:themeShade="80"/>
                <w:sz w:val="22"/>
              </w:rPr>
              <w:t xml:space="preserve">Education </w:t>
            </w:r>
            <w:r w:rsidRPr="00DA37FF">
              <w:rPr>
                <w:rFonts w:ascii="Nunito" w:hAnsi="Nunito" w:cs="Arial"/>
                <w:bCs/>
                <w:color w:val="1F3864" w:themeColor="accent1" w:themeShade="80"/>
                <w:sz w:val="22"/>
              </w:rPr>
              <w:t>Administrator – Postgraduate</w:t>
            </w:r>
          </w:p>
        </w:tc>
        <w:tc>
          <w:tcPr>
            <w:tcW w:w="1492" w:type="dxa"/>
            <w:tcBorders>
              <w:top w:val="single" w:sz="4" w:space="0" w:color="auto"/>
              <w:left w:val="single" w:sz="4" w:space="0" w:color="auto"/>
              <w:bottom w:val="single" w:sz="4" w:space="0" w:color="auto"/>
              <w:right w:val="single" w:sz="4" w:space="0" w:color="auto"/>
            </w:tcBorders>
            <w:shd w:val="clear" w:color="auto" w:fill="D9E2F3"/>
          </w:tcPr>
          <w:p w14:paraId="00C0548A" w14:textId="77777777"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Job Family</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77E47B" w14:textId="6CA27262" w:rsidR="00D14E61" w:rsidRPr="00DA37FF" w:rsidRDefault="00DA37FF" w:rsidP="00495452">
            <w:pPr>
              <w:rPr>
                <w:rFonts w:ascii="Nunito" w:hAnsi="Nunito" w:cs="Arial"/>
                <w:bCs/>
                <w:color w:val="1F3864" w:themeColor="accent1" w:themeShade="80"/>
                <w:sz w:val="22"/>
              </w:rPr>
            </w:pPr>
            <w:r>
              <w:rPr>
                <w:rFonts w:ascii="Nunito" w:hAnsi="Nunito" w:cs="Arial"/>
                <w:bCs/>
                <w:color w:val="1F3864" w:themeColor="accent1" w:themeShade="80"/>
                <w:sz w:val="22"/>
              </w:rPr>
              <w:t>Management, Specialist &amp; Administration</w:t>
            </w:r>
          </w:p>
        </w:tc>
      </w:tr>
      <w:tr w:rsidR="00DA37FF" w:rsidRPr="00DA37FF" w14:paraId="2E4E585C" w14:textId="77777777" w:rsidTr="00DA37FF">
        <w:trPr>
          <w:trHeight w:val="541"/>
        </w:trPr>
        <w:tc>
          <w:tcPr>
            <w:tcW w:w="1843" w:type="dxa"/>
            <w:tcBorders>
              <w:top w:val="single" w:sz="4" w:space="0" w:color="auto"/>
              <w:left w:val="single" w:sz="4" w:space="0" w:color="auto"/>
              <w:bottom w:val="single" w:sz="4" w:space="0" w:color="auto"/>
              <w:right w:val="single" w:sz="4" w:space="0" w:color="auto"/>
            </w:tcBorders>
            <w:shd w:val="clear" w:color="auto" w:fill="D9E2F3"/>
          </w:tcPr>
          <w:p w14:paraId="32BFD79D" w14:textId="3A4CC631"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Line Manager</w:t>
            </w:r>
          </w:p>
        </w:tc>
        <w:tc>
          <w:tcPr>
            <w:tcW w:w="2335" w:type="dxa"/>
            <w:tcBorders>
              <w:top w:val="single" w:sz="4" w:space="0" w:color="auto"/>
              <w:left w:val="single" w:sz="4" w:space="0" w:color="auto"/>
              <w:bottom w:val="single" w:sz="4" w:space="0" w:color="auto"/>
              <w:right w:val="single" w:sz="4" w:space="0" w:color="auto"/>
            </w:tcBorders>
          </w:tcPr>
          <w:p w14:paraId="04BF7090" w14:textId="77777777"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Course Leader</w:t>
            </w:r>
          </w:p>
        </w:tc>
        <w:tc>
          <w:tcPr>
            <w:tcW w:w="1492" w:type="dxa"/>
            <w:tcBorders>
              <w:top w:val="single" w:sz="4" w:space="0" w:color="auto"/>
              <w:left w:val="single" w:sz="4" w:space="0" w:color="auto"/>
              <w:bottom w:val="single" w:sz="4" w:space="0" w:color="auto"/>
              <w:right w:val="single" w:sz="4" w:space="0" w:color="auto"/>
            </w:tcBorders>
            <w:shd w:val="clear" w:color="auto" w:fill="D9E2F3"/>
          </w:tcPr>
          <w:p w14:paraId="3F4E0593" w14:textId="77777777"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 xml:space="preserve">Grade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38BA43" w14:textId="77777777"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4</w:t>
            </w:r>
          </w:p>
        </w:tc>
      </w:tr>
      <w:tr w:rsidR="00DA37FF" w:rsidRPr="00DA37FF" w14:paraId="25281523" w14:textId="77777777" w:rsidTr="00495452">
        <w:tc>
          <w:tcPr>
            <w:tcW w:w="1843" w:type="dxa"/>
            <w:tcBorders>
              <w:top w:val="single" w:sz="4" w:space="0" w:color="auto"/>
              <w:left w:val="single" w:sz="4" w:space="0" w:color="auto"/>
              <w:bottom w:val="single" w:sz="4" w:space="0" w:color="auto"/>
              <w:right w:val="single" w:sz="4" w:space="0" w:color="auto"/>
            </w:tcBorders>
            <w:shd w:val="clear" w:color="auto" w:fill="D9E2F3"/>
          </w:tcPr>
          <w:p w14:paraId="3F88AC82" w14:textId="51AB78F9" w:rsidR="00D14E61" w:rsidRPr="00DA37FF" w:rsidRDefault="00D14E61" w:rsidP="00D14E61">
            <w:pPr>
              <w:rPr>
                <w:rFonts w:ascii="Nunito" w:hAnsi="Nunito" w:cs="Arial"/>
                <w:bCs/>
                <w:color w:val="1F3864" w:themeColor="accent1" w:themeShade="80"/>
                <w:sz w:val="22"/>
              </w:rPr>
            </w:pPr>
            <w:r w:rsidRPr="00DA37FF">
              <w:rPr>
                <w:rFonts w:ascii="Nunito" w:hAnsi="Nunito" w:cs="Arial"/>
                <w:bCs/>
                <w:color w:val="1F3864" w:themeColor="accent1" w:themeShade="80"/>
                <w:sz w:val="22"/>
              </w:rPr>
              <w:t>Full Time/Part Time</w:t>
            </w:r>
            <w:r w:rsidRPr="00DA37FF">
              <w:rPr>
                <w:rFonts w:ascii="Nunito" w:hAnsi="Nunito" w:cs="Arial"/>
                <w:bCs/>
                <w:color w:val="1F3864" w:themeColor="accent1" w:themeShade="80"/>
                <w:sz w:val="22"/>
              </w:rPr>
              <w:tab/>
            </w:r>
          </w:p>
        </w:tc>
        <w:tc>
          <w:tcPr>
            <w:tcW w:w="2335" w:type="dxa"/>
            <w:tcBorders>
              <w:top w:val="single" w:sz="4" w:space="0" w:color="auto"/>
              <w:left w:val="single" w:sz="4" w:space="0" w:color="auto"/>
              <w:bottom w:val="single" w:sz="4" w:space="0" w:color="auto"/>
              <w:right w:val="single" w:sz="4" w:space="0" w:color="auto"/>
            </w:tcBorders>
          </w:tcPr>
          <w:p w14:paraId="794EC9CB" w14:textId="534A0CF9"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 xml:space="preserve">0.6 FTE </w:t>
            </w:r>
            <w:r w:rsidR="00DA37FF">
              <w:rPr>
                <w:rFonts w:ascii="Nunito" w:hAnsi="Nunito" w:cs="Arial"/>
                <w:bCs/>
                <w:color w:val="1F3864" w:themeColor="accent1" w:themeShade="80"/>
                <w:sz w:val="22"/>
              </w:rPr>
              <w:t>(</w:t>
            </w:r>
            <w:r w:rsidRPr="00DA37FF">
              <w:rPr>
                <w:rFonts w:ascii="Nunito" w:hAnsi="Nunito" w:cs="Arial"/>
                <w:bCs/>
                <w:color w:val="1F3864" w:themeColor="accent1" w:themeShade="80"/>
                <w:sz w:val="22"/>
              </w:rPr>
              <w:t>22.2 hrs per week</w:t>
            </w:r>
            <w:r w:rsidR="00DA37FF">
              <w:rPr>
                <w:rFonts w:ascii="Nunito" w:hAnsi="Nunito" w:cs="Arial"/>
                <w:bCs/>
                <w:color w:val="1F3864" w:themeColor="accent1" w:themeShade="80"/>
                <w:sz w:val="22"/>
              </w:rPr>
              <w:t>)</w:t>
            </w:r>
          </w:p>
        </w:tc>
        <w:tc>
          <w:tcPr>
            <w:tcW w:w="1492" w:type="dxa"/>
            <w:tcBorders>
              <w:top w:val="single" w:sz="4" w:space="0" w:color="auto"/>
              <w:left w:val="single" w:sz="4" w:space="0" w:color="auto"/>
              <w:bottom w:val="single" w:sz="4" w:space="0" w:color="auto"/>
              <w:right w:val="single" w:sz="4" w:space="0" w:color="auto"/>
            </w:tcBorders>
            <w:shd w:val="clear" w:color="auto" w:fill="D9E2F3"/>
          </w:tcPr>
          <w:p w14:paraId="5EA07764" w14:textId="77777777"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Duration of appointment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1120E7" w14:textId="6A7B556E" w:rsidR="00D14E61" w:rsidRPr="00DA37FF" w:rsidRDefault="00D14E61" w:rsidP="00495452">
            <w:pPr>
              <w:rPr>
                <w:rFonts w:ascii="Nunito" w:hAnsi="Nunito" w:cs="Arial"/>
                <w:bCs/>
                <w:color w:val="1F3864" w:themeColor="accent1" w:themeShade="80"/>
                <w:sz w:val="22"/>
              </w:rPr>
            </w:pPr>
            <w:r w:rsidRPr="00DA37FF">
              <w:rPr>
                <w:rFonts w:ascii="Nunito" w:hAnsi="Nunito" w:cs="Arial"/>
                <w:bCs/>
                <w:color w:val="1F3864" w:themeColor="accent1" w:themeShade="80"/>
                <w:sz w:val="22"/>
              </w:rPr>
              <w:t>Until Aug</w:t>
            </w:r>
            <w:r w:rsidR="00DA37FF">
              <w:rPr>
                <w:rFonts w:ascii="Nunito" w:hAnsi="Nunito" w:cs="Arial"/>
                <w:bCs/>
                <w:color w:val="1F3864" w:themeColor="accent1" w:themeShade="80"/>
                <w:sz w:val="22"/>
              </w:rPr>
              <w:t>ust</w:t>
            </w:r>
            <w:r w:rsidRPr="00DA37FF">
              <w:rPr>
                <w:rFonts w:ascii="Nunito" w:hAnsi="Nunito" w:cs="Arial"/>
                <w:bCs/>
                <w:color w:val="1F3864" w:themeColor="accent1" w:themeShade="80"/>
                <w:sz w:val="22"/>
              </w:rPr>
              <w:t xml:space="preserve"> 2027 </w:t>
            </w:r>
          </w:p>
        </w:tc>
      </w:tr>
    </w:tbl>
    <w:p w14:paraId="0DBFA3AE" w14:textId="77777777" w:rsidR="00D14E61" w:rsidRPr="00DA37FF" w:rsidRDefault="00D14E61" w:rsidP="00D14E61">
      <w:pPr>
        <w:rPr>
          <w:rFonts w:ascii="Nunito" w:hAnsi="Nunito" w:cs="Arial"/>
          <w:bCs/>
          <w:color w:val="1F3864" w:themeColor="accent1" w:themeShade="80"/>
          <w:sz w:val="22"/>
        </w:rPr>
      </w:pPr>
    </w:p>
    <w:p w14:paraId="0BF6F406" w14:textId="77777777" w:rsidR="00D14E61" w:rsidRPr="00DA37FF" w:rsidRDefault="00D14E61" w:rsidP="00D14E61">
      <w:pPr>
        <w:keepNext/>
        <w:outlineLvl w:val="0"/>
        <w:rPr>
          <w:rFonts w:ascii="Nunito" w:hAnsi="Nunito" w:cs="Arial"/>
          <w:b/>
          <w:color w:val="1F3864" w:themeColor="accent1" w:themeShade="80"/>
          <w:sz w:val="22"/>
        </w:rPr>
      </w:pPr>
      <w:r w:rsidRPr="00DA37FF">
        <w:rPr>
          <w:rFonts w:ascii="Nunito" w:hAnsi="Nunito" w:cs="Arial"/>
          <w:b/>
          <w:color w:val="1F3864" w:themeColor="accent1" w:themeShade="80"/>
          <w:sz w:val="22"/>
        </w:rPr>
        <w:t>2. Job Purpose</w:t>
      </w:r>
    </w:p>
    <w:p w14:paraId="1BFC4B4B" w14:textId="0AE33512" w:rsidR="00D14E61" w:rsidRPr="00DA37FF" w:rsidRDefault="00D14E61" w:rsidP="00D14E61">
      <w:pPr>
        <w:rPr>
          <w:rFonts w:ascii="Nunito" w:hAnsi="Nunito" w:cs="Arial"/>
          <w:bCs/>
          <w:color w:val="1F3864" w:themeColor="accent1" w:themeShade="80"/>
          <w:sz w:val="22"/>
        </w:rPr>
      </w:pPr>
      <w:r w:rsidRPr="00DA37FF">
        <w:rPr>
          <w:rFonts w:ascii="Nunito" w:hAnsi="Nunito" w:cs="Arial"/>
          <w:bCs/>
          <w:color w:val="1F3864" w:themeColor="accent1" w:themeShade="80"/>
          <w:sz w:val="22"/>
        </w:rPr>
        <w:t>The Education Administrator is responsible for all the administrative aspects of the EU-Erasmus Mundus ACES</w:t>
      </w:r>
      <w:r w:rsidR="00221C12">
        <w:rPr>
          <w:rFonts w:ascii="Nunito" w:hAnsi="Nunito" w:cs="Arial"/>
          <w:bCs/>
          <w:color w:val="1F3864" w:themeColor="accent1" w:themeShade="80"/>
          <w:sz w:val="22"/>
        </w:rPr>
        <w:t>-STAR</w:t>
      </w:r>
      <w:r w:rsidRPr="00DA37FF">
        <w:rPr>
          <w:rFonts w:ascii="Nunito" w:hAnsi="Nunito" w:cs="Arial"/>
          <w:bCs/>
          <w:color w:val="1F3864" w:themeColor="accent1" w:themeShade="80"/>
          <w:sz w:val="22"/>
        </w:rPr>
        <w:t xml:space="preserve"> Joint Master’s Degree.  The incumbent will work closely with the ACES</w:t>
      </w:r>
      <w:r w:rsidR="00221C12">
        <w:rPr>
          <w:rFonts w:ascii="Nunito" w:hAnsi="Nunito" w:cs="Arial"/>
          <w:bCs/>
          <w:color w:val="1F3864" w:themeColor="accent1" w:themeShade="80"/>
          <w:sz w:val="22"/>
        </w:rPr>
        <w:t>-STAR</w:t>
      </w:r>
      <w:r w:rsidRPr="00DA37FF">
        <w:rPr>
          <w:rFonts w:ascii="Nunito" w:hAnsi="Nunito" w:cs="Arial"/>
          <w:bCs/>
          <w:color w:val="1F3864" w:themeColor="accent1" w:themeShade="80"/>
          <w:sz w:val="22"/>
        </w:rPr>
        <w:t xml:space="preserve"> Programme Leader to provide student </w:t>
      </w:r>
      <w:r w:rsidR="00221C12">
        <w:rPr>
          <w:rFonts w:ascii="Nunito" w:hAnsi="Nunito" w:cs="Arial"/>
          <w:bCs/>
          <w:color w:val="1F3864" w:themeColor="accent1" w:themeShade="80"/>
          <w:sz w:val="22"/>
        </w:rPr>
        <w:t xml:space="preserve">and programme </w:t>
      </w:r>
      <w:r w:rsidRPr="00DA37FF">
        <w:rPr>
          <w:rFonts w:ascii="Nunito" w:hAnsi="Nunito" w:cs="Arial"/>
          <w:bCs/>
          <w:color w:val="1F3864" w:themeColor="accent1" w:themeShade="80"/>
          <w:sz w:val="22"/>
        </w:rPr>
        <w:t xml:space="preserve">management and </w:t>
      </w:r>
      <w:r w:rsidR="00221C12">
        <w:rPr>
          <w:rFonts w:ascii="Nunito" w:hAnsi="Nunito" w:cs="Arial"/>
          <w:bCs/>
          <w:color w:val="1F3864" w:themeColor="accent1" w:themeShade="80"/>
          <w:sz w:val="22"/>
        </w:rPr>
        <w:t xml:space="preserve">to </w:t>
      </w:r>
      <w:r w:rsidRPr="00DA37FF">
        <w:rPr>
          <w:rFonts w:ascii="Nunito" w:hAnsi="Nunito" w:cs="Arial"/>
          <w:bCs/>
          <w:color w:val="1F3864" w:themeColor="accent1" w:themeShade="80"/>
          <w:sz w:val="22"/>
        </w:rPr>
        <w:t>ensure that the project and EU Erasmus Mundus contractual obligations are met.</w:t>
      </w:r>
    </w:p>
    <w:p w14:paraId="38E1502B" w14:textId="77777777" w:rsidR="00D14E61" w:rsidRPr="00DA37FF" w:rsidRDefault="00D14E61" w:rsidP="00D14E61">
      <w:pPr>
        <w:rPr>
          <w:rFonts w:ascii="Nunito" w:hAnsi="Nunito" w:cs="Arial"/>
          <w:bCs/>
          <w:color w:val="1F3864" w:themeColor="accent1" w:themeShade="80"/>
          <w:sz w:val="22"/>
        </w:rPr>
      </w:pPr>
    </w:p>
    <w:p w14:paraId="36CD45E2" w14:textId="77777777" w:rsidR="00D14E61" w:rsidRPr="00DA37FF" w:rsidRDefault="00D14E61" w:rsidP="00D14E61">
      <w:pPr>
        <w:keepNext/>
        <w:outlineLvl w:val="0"/>
        <w:rPr>
          <w:rFonts w:ascii="Nunito" w:hAnsi="Nunito" w:cs="Arial"/>
          <w:b/>
          <w:color w:val="1F3864" w:themeColor="accent1" w:themeShade="80"/>
          <w:sz w:val="22"/>
        </w:rPr>
      </w:pPr>
      <w:r w:rsidRPr="00DA37FF">
        <w:rPr>
          <w:rFonts w:ascii="Nunito" w:hAnsi="Nunito" w:cs="Arial"/>
          <w:b/>
          <w:color w:val="1F3864" w:themeColor="accent1" w:themeShade="80"/>
          <w:sz w:val="22"/>
        </w:rPr>
        <w:t>3. Main Responsibilities</w:t>
      </w:r>
    </w:p>
    <w:tbl>
      <w:tblPr>
        <w:tblW w:w="0" w:type="auto"/>
        <w:tblLook w:val="01E0" w:firstRow="1" w:lastRow="1" w:firstColumn="1" w:lastColumn="1" w:noHBand="0" w:noVBand="0"/>
      </w:tblPr>
      <w:tblGrid>
        <w:gridCol w:w="8418"/>
        <w:gridCol w:w="222"/>
      </w:tblGrid>
      <w:tr w:rsidR="00D14E61" w:rsidRPr="00DA37FF" w14:paraId="5D160927" w14:textId="77777777" w:rsidTr="00495452">
        <w:tc>
          <w:tcPr>
            <w:tcW w:w="7848" w:type="dxa"/>
            <w:shd w:val="clear" w:color="auto" w:fill="auto"/>
          </w:tcPr>
          <w:p w14:paraId="7BFEB4C8" w14:textId="77777777" w:rsidR="00D14E61" w:rsidRPr="00DA37FF" w:rsidRDefault="00D14E61" w:rsidP="00495452">
            <w:pPr>
              <w:rPr>
                <w:rFonts w:ascii="Nunito" w:hAnsi="Nunito"/>
                <w:bCs/>
                <w:color w:val="1F3864" w:themeColor="accent1" w:themeShade="80"/>
              </w:rPr>
            </w:pPr>
          </w:p>
          <w:tbl>
            <w:tblPr>
              <w:tblW w:w="0" w:type="auto"/>
              <w:tblLook w:val="01E0" w:firstRow="1" w:lastRow="1" w:firstColumn="1" w:lastColumn="1" w:noHBand="0" w:noVBand="0"/>
            </w:tblPr>
            <w:tblGrid>
              <w:gridCol w:w="7980"/>
              <w:gridCol w:w="222"/>
            </w:tblGrid>
            <w:tr w:rsidR="00DA37FF" w:rsidRPr="00DA37FF" w14:paraId="2374F075" w14:textId="77777777" w:rsidTr="00495452">
              <w:tc>
                <w:tcPr>
                  <w:tcW w:w="7848" w:type="dxa"/>
                  <w:shd w:val="clear" w:color="auto" w:fill="auto"/>
                </w:tcPr>
                <w:tbl>
                  <w:tblPr>
                    <w:tblW w:w="750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3"/>
                    <w:gridCol w:w="1065"/>
                  </w:tblGrid>
                  <w:tr w:rsidR="00DA37FF" w:rsidRPr="00DA37FF" w14:paraId="66B96460" w14:textId="77777777" w:rsidTr="00BE7B07">
                    <w:trPr>
                      <w:trHeight w:val="49"/>
                    </w:trPr>
                    <w:tc>
                      <w:tcPr>
                        <w:tcW w:w="6443" w:type="dxa"/>
                        <w:shd w:val="clear" w:color="auto" w:fill="D9E2F3"/>
                        <w:vAlign w:val="center"/>
                      </w:tcPr>
                      <w:p w14:paraId="0C0BFA96" w14:textId="35712BD6" w:rsidR="00D14E61" w:rsidRPr="00DA37FF" w:rsidRDefault="00D14E61" w:rsidP="00D14E61">
                        <w:pPr>
                          <w:jc w:val="center"/>
                          <w:rPr>
                            <w:rFonts w:ascii="Nunito" w:hAnsi="Nunito" w:cs="Arial"/>
                            <w:bCs/>
                            <w:i/>
                            <w:iCs/>
                            <w:color w:val="1F3864" w:themeColor="accent1" w:themeShade="80"/>
                            <w:sz w:val="22"/>
                            <w:szCs w:val="22"/>
                          </w:rPr>
                        </w:pPr>
                        <w:r w:rsidRPr="00DA37FF">
                          <w:rPr>
                            <w:rFonts w:ascii="Nunito" w:hAnsi="Nunito" w:cs="Arial"/>
                            <w:bCs/>
                            <w:i/>
                            <w:iCs/>
                            <w:color w:val="1F3864" w:themeColor="accent1" w:themeShade="80"/>
                            <w:sz w:val="22"/>
                            <w:szCs w:val="22"/>
                          </w:rPr>
                          <w:t>Responsibility Areas</w:t>
                        </w:r>
                      </w:p>
                    </w:tc>
                    <w:tc>
                      <w:tcPr>
                        <w:tcW w:w="1065" w:type="dxa"/>
                        <w:shd w:val="clear" w:color="auto" w:fill="D9E2F3"/>
                        <w:vAlign w:val="center"/>
                      </w:tcPr>
                      <w:p w14:paraId="429909B5" w14:textId="77777777" w:rsidR="00D14E61" w:rsidRPr="00DA37FF" w:rsidRDefault="00D14E61" w:rsidP="00D14E61">
                        <w:pPr>
                          <w:autoSpaceDE w:val="0"/>
                          <w:autoSpaceDN w:val="0"/>
                          <w:adjustRightInd w:val="0"/>
                          <w:jc w:val="center"/>
                          <w:rPr>
                            <w:rFonts w:ascii="Nunito" w:hAnsi="Nunito" w:cs="Arial"/>
                            <w:i/>
                            <w:iCs/>
                            <w:color w:val="1F3864" w:themeColor="accent1" w:themeShade="80"/>
                            <w:sz w:val="22"/>
                            <w:szCs w:val="22"/>
                            <w:lang w:eastAsia="en-GB"/>
                          </w:rPr>
                        </w:pPr>
                        <w:r w:rsidRPr="00DA37FF">
                          <w:rPr>
                            <w:rFonts w:ascii="Nunito" w:hAnsi="Nunito" w:cs="Arial"/>
                            <w:i/>
                            <w:iCs/>
                            <w:color w:val="1F3864" w:themeColor="accent1" w:themeShade="80"/>
                            <w:sz w:val="22"/>
                            <w:szCs w:val="22"/>
                            <w:lang w:eastAsia="en-GB"/>
                          </w:rPr>
                          <w:t>Approx. %</w:t>
                        </w:r>
                      </w:p>
                      <w:p w14:paraId="04164DF5" w14:textId="77777777" w:rsidR="00D14E61" w:rsidRPr="00DA37FF" w:rsidRDefault="00D14E61" w:rsidP="00D14E61">
                        <w:pPr>
                          <w:jc w:val="center"/>
                          <w:rPr>
                            <w:rFonts w:ascii="Nunito" w:hAnsi="Nunito" w:cs="Arial"/>
                            <w:bCs/>
                            <w:i/>
                            <w:iCs/>
                            <w:color w:val="1F3864" w:themeColor="accent1" w:themeShade="80"/>
                            <w:sz w:val="22"/>
                            <w:szCs w:val="22"/>
                          </w:rPr>
                        </w:pPr>
                        <w:r w:rsidRPr="00DA37FF">
                          <w:rPr>
                            <w:rFonts w:ascii="Nunito" w:hAnsi="Nunito" w:cs="Arial"/>
                            <w:i/>
                            <w:iCs/>
                            <w:color w:val="1F3864" w:themeColor="accent1" w:themeShade="80"/>
                            <w:sz w:val="22"/>
                            <w:szCs w:val="22"/>
                            <w:lang w:eastAsia="en-GB"/>
                          </w:rPr>
                          <w:t>of time</w:t>
                        </w:r>
                      </w:p>
                    </w:tc>
                  </w:tr>
                  <w:tr w:rsidR="00DA37FF" w:rsidRPr="00DA37FF" w14:paraId="17790783" w14:textId="77777777" w:rsidTr="00BE7B07">
                    <w:trPr>
                      <w:trHeight w:val="115"/>
                    </w:trPr>
                    <w:tc>
                      <w:tcPr>
                        <w:tcW w:w="6443" w:type="dxa"/>
                        <w:shd w:val="clear" w:color="auto" w:fill="auto"/>
                      </w:tcPr>
                      <w:p w14:paraId="714CB5CD" w14:textId="6A604585" w:rsidR="00D14E61" w:rsidRPr="00DA37FF" w:rsidRDefault="00D14E61" w:rsidP="00D14E61">
                        <w:pPr>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 xml:space="preserve">Working closely with the Programme Leader and Head of Student Services, manage effective recruitment, selection, visa compliance, registration, enrolment, </w:t>
                        </w:r>
                        <w:r w:rsidR="00221C12">
                          <w:rPr>
                            <w:rFonts w:ascii="Nunito" w:hAnsi="Nunito" w:cs="Arial"/>
                            <w:bCs/>
                            <w:color w:val="1F3864" w:themeColor="accent1" w:themeShade="80"/>
                            <w:sz w:val="22"/>
                            <w:szCs w:val="22"/>
                          </w:rPr>
                          <w:t xml:space="preserve">insurance, </w:t>
                        </w:r>
                        <w:r w:rsidRPr="00DA37FF">
                          <w:rPr>
                            <w:rFonts w:ascii="Nunito" w:hAnsi="Nunito" w:cs="Arial"/>
                            <w:bCs/>
                            <w:color w:val="1F3864" w:themeColor="accent1" w:themeShade="80"/>
                            <w:sz w:val="22"/>
                            <w:szCs w:val="22"/>
                          </w:rPr>
                          <w:t xml:space="preserve">student feedback, </w:t>
                        </w:r>
                        <w:proofErr w:type="gramStart"/>
                        <w:r w:rsidRPr="00DA37FF">
                          <w:rPr>
                            <w:rFonts w:ascii="Nunito" w:hAnsi="Nunito" w:cs="Arial"/>
                            <w:bCs/>
                            <w:color w:val="1F3864" w:themeColor="accent1" w:themeShade="80"/>
                            <w:sz w:val="22"/>
                            <w:szCs w:val="22"/>
                          </w:rPr>
                          <w:t>marketing</w:t>
                        </w:r>
                        <w:proofErr w:type="gramEnd"/>
                        <w:r w:rsidRPr="00DA37FF">
                          <w:rPr>
                            <w:rFonts w:ascii="Nunito" w:hAnsi="Nunito" w:cs="Arial"/>
                            <w:bCs/>
                            <w:color w:val="1F3864" w:themeColor="accent1" w:themeShade="80"/>
                            <w:sz w:val="22"/>
                            <w:szCs w:val="22"/>
                          </w:rPr>
                          <w:t xml:space="preserve"> and graduation. This will include liaison with students, project members (Universities of Crete and Nantes) and affiliated partners (60+ partners globally), the EC and UHI Executive Office Departments, to ensure efficient and effective student management.</w:t>
                        </w:r>
                      </w:p>
                    </w:tc>
                    <w:tc>
                      <w:tcPr>
                        <w:tcW w:w="1065" w:type="dxa"/>
                        <w:shd w:val="clear" w:color="auto" w:fill="auto"/>
                        <w:vAlign w:val="center"/>
                      </w:tcPr>
                      <w:p w14:paraId="26E76E23" w14:textId="77777777" w:rsidR="00D14E61" w:rsidRPr="00DA37FF" w:rsidRDefault="00D14E61" w:rsidP="00D14E61">
                        <w:pPr>
                          <w:jc w:val="center"/>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25</w:t>
                        </w:r>
                      </w:p>
                    </w:tc>
                  </w:tr>
                  <w:tr w:rsidR="00DA37FF" w:rsidRPr="00DA37FF" w14:paraId="4FEE0150" w14:textId="77777777" w:rsidTr="00BE7B07">
                    <w:trPr>
                      <w:trHeight w:val="66"/>
                    </w:trPr>
                    <w:tc>
                      <w:tcPr>
                        <w:tcW w:w="6443" w:type="dxa"/>
                        <w:shd w:val="clear" w:color="auto" w:fill="auto"/>
                      </w:tcPr>
                      <w:p w14:paraId="1921FB6B" w14:textId="77777777" w:rsidR="00D14E61" w:rsidRPr="00DA37FF" w:rsidRDefault="00D14E61" w:rsidP="00D14E61">
                        <w:pPr>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 xml:space="preserve">Working with the project partners and affiliated partners, SAMS PG Registry Officer, UHI Departments and others as appropriate to ensure excellent student experience, including facilitation of student support services, careers advice and professional development. </w:t>
                        </w:r>
                      </w:p>
                    </w:tc>
                    <w:tc>
                      <w:tcPr>
                        <w:tcW w:w="1065" w:type="dxa"/>
                        <w:shd w:val="clear" w:color="auto" w:fill="auto"/>
                        <w:vAlign w:val="center"/>
                      </w:tcPr>
                      <w:p w14:paraId="47B6EEA5" w14:textId="77777777" w:rsidR="00D14E61" w:rsidRPr="00DA37FF" w:rsidRDefault="00D14E61" w:rsidP="00D14E61">
                        <w:pPr>
                          <w:jc w:val="center"/>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10</w:t>
                        </w:r>
                      </w:p>
                    </w:tc>
                  </w:tr>
                  <w:tr w:rsidR="00DA37FF" w:rsidRPr="00DA37FF" w14:paraId="24B65ABC" w14:textId="77777777" w:rsidTr="00BE7B07">
                    <w:trPr>
                      <w:trHeight w:val="82"/>
                    </w:trPr>
                    <w:tc>
                      <w:tcPr>
                        <w:tcW w:w="6443" w:type="dxa"/>
                        <w:shd w:val="clear" w:color="auto" w:fill="auto"/>
                      </w:tcPr>
                      <w:p w14:paraId="78B53DF0" w14:textId="2D9F8A9E" w:rsidR="00D14E61" w:rsidRPr="00DA37FF" w:rsidRDefault="00D14E61" w:rsidP="00D14E61">
                        <w:pPr>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Support the Programme Leader in other administrative and managerial matters to support the day-to-day running of the project, planning, organising</w:t>
                        </w:r>
                        <w:r w:rsidR="00221C12">
                          <w:rPr>
                            <w:rFonts w:ascii="Nunito" w:hAnsi="Nunito" w:cs="Arial"/>
                            <w:bCs/>
                            <w:color w:val="1F3864" w:themeColor="accent1" w:themeShade="80"/>
                            <w:sz w:val="22"/>
                            <w:szCs w:val="22"/>
                          </w:rPr>
                          <w:t xml:space="preserve"> meetings</w:t>
                        </w:r>
                        <w:r w:rsidRPr="00DA37FF">
                          <w:rPr>
                            <w:rFonts w:ascii="Nunito" w:hAnsi="Nunito" w:cs="Arial"/>
                            <w:bCs/>
                            <w:color w:val="1F3864" w:themeColor="accent1" w:themeShade="80"/>
                            <w:sz w:val="22"/>
                            <w:szCs w:val="22"/>
                          </w:rPr>
                          <w:t>, minute taking, exam board clerk and attending meetings as required, distributing key information among all partners.</w:t>
                        </w:r>
                      </w:p>
                    </w:tc>
                    <w:tc>
                      <w:tcPr>
                        <w:tcW w:w="1065" w:type="dxa"/>
                        <w:shd w:val="clear" w:color="auto" w:fill="auto"/>
                        <w:vAlign w:val="center"/>
                      </w:tcPr>
                      <w:p w14:paraId="58A04598" w14:textId="77777777" w:rsidR="00D14E61" w:rsidRPr="00DA37FF" w:rsidRDefault="00D14E61" w:rsidP="00D14E61">
                        <w:pPr>
                          <w:rPr>
                            <w:rFonts w:ascii="Nunito" w:hAnsi="Nunito" w:cs="Arial"/>
                            <w:bCs/>
                            <w:color w:val="1F3864" w:themeColor="accent1" w:themeShade="80"/>
                            <w:sz w:val="22"/>
                            <w:szCs w:val="22"/>
                          </w:rPr>
                        </w:pPr>
                      </w:p>
                      <w:p w14:paraId="179AB249" w14:textId="77777777" w:rsidR="00D14E61" w:rsidRPr="00DA37FF" w:rsidRDefault="00D14E61" w:rsidP="00D14E61">
                        <w:pPr>
                          <w:jc w:val="center"/>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5</w:t>
                        </w:r>
                      </w:p>
                    </w:tc>
                  </w:tr>
                  <w:tr w:rsidR="00DA37FF" w:rsidRPr="00DA37FF" w14:paraId="68863C0D" w14:textId="77777777" w:rsidTr="00BE7B07">
                    <w:trPr>
                      <w:trHeight w:val="82"/>
                    </w:trPr>
                    <w:tc>
                      <w:tcPr>
                        <w:tcW w:w="6443" w:type="dxa"/>
                        <w:shd w:val="clear" w:color="auto" w:fill="auto"/>
                      </w:tcPr>
                      <w:p w14:paraId="02C3AB54" w14:textId="32972171" w:rsidR="00D14E61" w:rsidRPr="00DA37FF" w:rsidRDefault="00D14E61" w:rsidP="00D14E61">
                        <w:pPr>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 xml:space="preserve">Support the Programme Leader in liaison and communications with the assigned Project Officers in the European Commission to ensure compliance with EC regulations, assist in managing </w:t>
                        </w:r>
                        <w:r w:rsidRPr="00DA37FF">
                          <w:rPr>
                            <w:rFonts w:ascii="Nunito" w:hAnsi="Nunito" w:cs="Arial"/>
                            <w:bCs/>
                            <w:color w:val="1F3864" w:themeColor="accent1" w:themeShade="80"/>
                            <w:sz w:val="22"/>
                            <w:szCs w:val="22"/>
                          </w:rPr>
                          <w:lastRenderedPageBreak/>
                          <w:t>project reports and any other communications with the EC as required for the ACES</w:t>
                        </w:r>
                        <w:r w:rsidR="00221C12">
                          <w:rPr>
                            <w:rFonts w:ascii="Nunito" w:hAnsi="Nunito" w:cs="Arial"/>
                            <w:bCs/>
                            <w:color w:val="1F3864" w:themeColor="accent1" w:themeShade="80"/>
                            <w:sz w:val="22"/>
                            <w:szCs w:val="22"/>
                          </w:rPr>
                          <w:t>-STAR</w:t>
                        </w:r>
                        <w:r w:rsidRPr="00DA37FF">
                          <w:rPr>
                            <w:rFonts w:ascii="Nunito" w:hAnsi="Nunito" w:cs="Arial"/>
                            <w:bCs/>
                            <w:color w:val="1F3864" w:themeColor="accent1" w:themeShade="80"/>
                            <w:sz w:val="22"/>
                            <w:szCs w:val="22"/>
                          </w:rPr>
                          <w:t xml:space="preserve"> programme.   </w:t>
                        </w:r>
                      </w:p>
                    </w:tc>
                    <w:tc>
                      <w:tcPr>
                        <w:tcW w:w="1065" w:type="dxa"/>
                        <w:shd w:val="clear" w:color="auto" w:fill="auto"/>
                        <w:vAlign w:val="center"/>
                      </w:tcPr>
                      <w:p w14:paraId="27905E81" w14:textId="77777777" w:rsidR="00D14E61" w:rsidRPr="00DA37FF" w:rsidRDefault="00D14E61" w:rsidP="00D14E61">
                        <w:pPr>
                          <w:jc w:val="center"/>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lastRenderedPageBreak/>
                          <w:t>5</w:t>
                        </w:r>
                      </w:p>
                    </w:tc>
                  </w:tr>
                  <w:tr w:rsidR="00DA37FF" w:rsidRPr="00DA37FF" w14:paraId="14B36CD8" w14:textId="77777777" w:rsidTr="00BE7B07">
                    <w:trPr>
                      <w:trHeight w:val="82"/>
                    </w:trPr>
                    <w:tc>
                      <w:tcPr>
                        <w:tcW w:w="6443" w:type="dxa"/>
                        <w:shd w:val="clear" w:color="auto" w:fill="auto"/>
                      </w:tcPr>
                      <w:p w14:paraId="00BAB09E" w14:textId="48181D1D" w:rsidR="00D14E61" w:rsidRPr="00DA37FF" w:rsidRDefault="00D14E61" w:rsidP="00D14E61">
                        <w:pPr>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Work with the Communications and the Marketing Manager, to assist in the updating of ACES</w:t>
                        </w:r>
                        <w:r w:rsidR="00221C12">
                          <w:rPr>
                            <w:rFonts w:ascii="Nunito" w:hAnsi="Nunito" w:cs="Arial"/>
                            <w:bCs/>
                            <w:color w:val="1F3864" w:themeColor="accent1" w:themeShade="80"/>
                            <w:sz w:val="22"/>
                            <w:szCs w:val="22"/>
                          </w:rPr>
                          <w:t>-STAR media,</w:t>
                        </w:r>
                        <w:r w:rsidRPr="00DA37FF">
                          <w:rPr>
                            <w:rFonts w:ascii="Nunito" w:hAnsi="Nunito" w:cs="Arial"/>
                            <w:bCs/>
                            <w:color w:val="1F3864" w:themeColor="accent1" w:themeShade="80"/>
                            <w:sz w:val="22"/>
                            <w:szCs w:val="22"/>
                          </w:rPr>
                          <w:t xml:space="preserve"> including writing materials for project dissemination e.g., website, social media accounts (e.g.</w:t>
                        </w:r>
                        <w:r w:rsidR="00221C12">
                          <w:rPr>
                            <w:rFonts w:ascii="Nunito" w:hAnsi="Nunito" w:cs="Arial"/>
                            <w:bCs/>
                            <w:color w:val="1F3864" w:themeColor="accent1" w:themeShade="80"/>
                            <w:sz w:val="22"/>
                            <w:szCs w:val="22"/>
                          </w:rPr>
                          <w:t>,</w:t>
                        </w:r>
                        <w:r w:rsidRPr="00DA37FF">
                          <w:rPr>
                            <w:rFonts w:ascii="Nunito" w:hAnsi="Nunito" w:cs="Arial"/>
                            <w:bCs/>
                            <w:color w:val="1F3864" w:themeColor="accent1" w:themeShade="80"/>
                            <w:sz w:val="22"/>
                            <w:szCs w:val="22"/>
                          </w:rPr>
                          <w:t xml:space="preserve"> Facebook, Twitter), newsletters, and marketing of degrees, to maximise recruitment and impact of the programme.</w:t>
                        </w:r>
                      </w:p>
                    </w:tc>
                    <w:tc>
                      <w:tcPr>
                        <w:tcW w:w="1065" w:type="dxa"/>
                        <w:shd w:val="clear" w:color="auto" w:fill="auto"/>
                        <w:vAlign w:val="center"/>
                      </w:tcPr>
                      <w:p w14:paraId="15165479" w14:textId="77777777" w:rsidR="00D14E61" w:rsidRPr="00DA37FF" w:rsidRDefault="00D14E61" w:rsidP="00D14E61">
                        <w:pPr>
                          <w:jc w:val="center"/>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5</w:t>
                        </w:r>
                      </w:p>
                    </w:tc>
                  </w:tr>
                  <w:tr w:rsidR="00DA37FF" w:rsidRPr="00DA37FF" w14:paraId="3B775577" w14:textId="77777777" w:rsidTr="00BE7B07">
                    <w:trPr>
                      <w:trHeight w:val="32"/>
                    </w:trPr>
                    <w:tc>
                      <w:tcPr>
                        <w:tcW w:w="6443" w:type="dxa"/>
                        <w:shd w:val="clear" w:color="auto" w:fill="auto"/>
                      </w:tcPr>
                      <w:p w14:paraId="42635301" w14:textId="77777777" w:rsidR="00D14E61" w:rsidRPr="00DA37FF" w:rsidRDefault="00D14E61" w:rsidP="00D14E61">
                        <w:pPr>
                          <w:jc w:val="both"/>
                          <w:rPr>
                            <w:rFonts w:ascii="Nunito" w:hAnsi="Nunito" w:cs="Arial"/>
                            <w:color w:val="1F3864" w:themeColor="accent1" w:themeShade="80"/>
                            <w:sz w:val="22"/>
                            <w:szCs w:val="22"/>
                          </w:rPr>
                        </w:pPr>
                        <w:r w:rsidRPr="00DA37FF">
                          <w:rPr>
                            <w:rFonts w:ascii="Nunito" w:hAnsi="Nunito" w:cs="Arial"/>
                            <w:color w:val="1F3864" w:themeColor="accent1" w:themeShade="80"/>
                            <w:sz w:val="22"/>
                            <w:szCs w:val="22"/>
                          </w:rPr>
                          <w:t>Participate in CPD to maintain and improve skills requires for the post</w:t>
                        </w:r>
                      </w:p>
                    </w:tc>
                    <w:tc>
                      <w:tcPr>
                        <w:tcW w:w="1065" w:type="dxa"/>
                        <w:shd w:val="clear" w:color="auto" w:fill="auto"/>
                        <w:vAlign w:val="center"/>
                      </w:tcPr>
                      <w:p w14:paraId="777415DA" w14:textId="77777777" w:rsidR="00D14E61" w:rsidRPr="00DA37FF" w:rsidRDefault="00D14E61" w:rsidP="00495452">
                        <w:pPr>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Ongoing</w:t>
                        </w:r>
                      </w:p>
                    </w:tc>
                  </w:tr>
                  <w:tr w:rsidR="00DA37FF" w:rsidRPr="00DA37FF" w14:paraId="02555248" w14:textId="77777777" w:rsidTr="00BE7B07">
                    <w:trPr>
                      <w:trHeight w:val="32"/>
                    </w:trPr>
                    <w:tc>
                      <w:tcPr>
                        <w:tcW w:w="6443" w:type="dxa"/>
                        <w:shd w:val="clear" w:color="auto" w:fill="auto"/>
                      </w:tcPr>
                      <w:p w14:paraId="6C168713" w14:textId="77777777" w:rsidR="00D14E61" w:rsidRPr="00DA37FF" w:rsidRDefault="00D14E61" w:rsidP="00D14E61">
                        <w:pPr>
                          <w:jc w:val="both"/>
                          <w:rPr>
                            <w:rFonts w:ascii="Nunito" w:hAnsi="Nunito" w:cs="Arial"/>
                            <w:bCs/>
                            <w:color w:val="1F3864" w:themeColor="accent1" w:themeShade="80"/>
                            <w:sz w:val="22"/>
                            <w:szCs w:val="22"/>
                          </w:rPr>
                        </w:pPr>
                        <w:r w:rsidRPr="00DA37FF">
                          <w:rPr>
                            <w:rFonts w:ascii="Nunito" w:hAnsi="Nunito" w:cs="Arial"/>
                            <w:color w:val="1F3864" w:themeColor="accent1" w:themeShade="80"/>
                            <w:sz w:val="22"/>
                            <w:szCs w:val="22"/>
                          </w:rPr>
                          <w:t>Be pro-active in the application of SAMS Health and Safety Procedures</w:t>
                        </w:r>
                      </w:p>
                    </w:tc>
                    <w:tc>
                      <w:tcPr>
                        <w:tcW w:w="1065" w:type="dxa"/>
                        <w:shd w:val="clear" w:color="auto" w:fill="auto"/>
                        <w:vAlign w:val="center"/>
                      </w:tcPr>
                      <w:p w14:paraId="3748E3BB" w14:textId="77777777" w:rsidR="00D14E61" w:rsidRPr="00DA37FF" w:rsidRDefault="00D14E61" w:rsidP="00495452">
                        <w:pPr>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Ongoing</w:t>
                        </w:r>
                      </w:p>
                    </w:tc>
                  </w:tr>
                  <w:tr w:rsidR="00DA37FF" w:rsidRPr="00DA37FF" w14:paraId="14F1E84F" w14:textId="77777777" w:rsidTr="00BE7B07">
                    <w:trPr>
                      <w:trHeight w:val="16"/>
                    </w:trPr>
                    <w:tc>
                      <w:tcPr>
                        <w:tcW w:w="6443" w:type="dxa"/>
                        <w:tcBorders>
                          <w:top w:val="single" w:sz="4" w:space="0" w:color="auto"/>
                          <w:left w:val="nil"/>
                          <w:bottom w:val="nil"/>
                          <w:right w:val="nil"/>
                        </w:tcBorders>
                        <w:shd w:val="clear" w:color="auto" w:fill="auto"/>
                      </w:tcPr>
                      <w:p w14:paraId="1E42435D" w14:textId="77777777" w:rsidR="00D14E61" w:rsidRPr="00DA37FF" w:rsidRDefault="00D14E61" w:rsidP="00495452">
                        <w:pPr>
                          <w:jc w:val="both"/>
                          <w:rPr>
                            <w:rFonts w:ascii="Nunito" w:hAnsi="Nunito" w:cs="Arial"/>
                            <w:bCs/>
                            <w:color w:val="1F3864" w:themeColor="accent1" w:themeShade="80"/>
                            <w:sz w:val="22"/>
                            <w:szCs w:val="22"/>
                          </w:rPr>
                        </w:pPr>
                      </w:p>
                    </w:tc>
                    <w:tc>
                      <w:tcPr>
                        <w:tcW w:w="1065" w:type="dxa"/>
                        <w:tcBorders>
                          <w:top w:val="single" w:sz="4" w:space="0" w:color="auto"/>
                          <w:left w:val="nil"/>
                          <w:bottom w:val="nil"/>
                          <w:right w:val="nil"/>
                        </w:tcBorders>
                        <w:shd w:val="clear" w:color="auto" w:fill="auto"/>
                        <w:vAlign w:val="center"/>
                      </w:tcPr>
                      <w:p w14:paraId="6F1F0AE5" w14:textId="77777777" w:rsidR="00D14E61" w:rsidRPr="00DA37FF" w:rsidRDefault="00D14E61" w:rsidP="00495452">
                        <w:pPr>
                          <w:jc w:val="both"/>
                          <w:rPr>
                            <w:rFonts w:ascii="Nunito" w:hAnsi="Nunito" w:cs="Arial"/>
                            <w:bCs/>
                            <w:color w:val="1F3864" w:themeColor="accent1" w:themeShade="80"/>
                            <w:sz w:val="22"/>
                            <w:szCs w:val="22"/>
                          </w:rPr>
                        </w:pPr>
                      </w:p>
                    </w:tc>
                  </w:tr>
                </w:tbl>
                <w:p w14:paraId="1F69CE95" w14:textId="77777777" w:rsidR="00D14E61" w:rsidRPr="00DA37FF" w:rsidRDefault="00D14E61" w:rsidP="00495452">
                  <w:pPr>
                    <w:jc w:val="both"/>
                    <w:rPr>
                      <w:rFonts w:ascii="Nunito" w:hAnsi="Nunito"/>
                      <w:bCs/>
                      <w:color w:val="1F3864" w:themeColor="accent1" w:themeShade="80"/>
                    </w:rPr>
                  </w:pPr>
                </w:p>
              </w:tc>
              <w:tc>
                <w:tcPr>
                  <w:tcW w:w="1368" w:type="dxa"/>
                  <w:shd w:val="clear" w:color="auto" w:fill="auto"/>
                </w:tcPr>
                <w:p w14:paraId="3926E03A" w14:textId="77777777" w:rsidR="00D14E61" w:rsidRPr="00DA37FF" w:rsidRDefault="00D14E61" w:rsidP="00495452">
                  <w:pPr>
                    <w:keepNext/>
                    <w:jc w:val="both"/>
                    <w:outlineLvl w:val="0"/>
                    <w:rPr>
                      <w:rFonts w:ascii="Nunito" w:hAnsi="Nunito" w:cs="Arial"/>
                      <w:bCs/>
                      <w:color w:val="1F3864" w:themeColor="accent1" w:themeShade="80"/>
                      <w:sz w:val="22"/>
                    </w:rPr>
                  </w:pPr>
                </w:p>
              </w:tc>
            </w:tr>
          </w:tbl>
          <w:p w14:paraId="583974BF" w14:textId="77777777" w:rsidR="00D14E61" w:rsidRPr="00DA37FF" w:rsidRDefault="00D14E61" w:rsidP="00495452">
            <w:pPr>
              <w:rPr>
                <w:rFonts w:ascii="Nunito" w:hAnsi="Nunito"/>
                <w:bCs/>
                <w:color w:val="1F3864" w:themeColor="accent1" w:themeShade="80"/>
              </w:rPr>
            </w:pPr>
          </w:p>
        </w:tc>
        <w:tc>
          <w:tcPr>
            <w:tcW w:w="1368" w:type="dxa"/>
            <w:shd w:val="clear" w:color="auto" w:fill="auto"/>
          </w:tcPr>
          <w:p w14:paraId="2F409EBA" w14:textId="77777777" w:rsidR="00D14E61" w:rsidRPr="00DA37FF" w:rsidRDefault="00D14E61" w:rsidP="00495452">
            <w:pPr>
              <w:keepNext/>
              <w:outlineLvl w:val="0"/>
              <w:rPr>
                <w:rFonts w:ascii="Nunito" w:hAnsi="Nunito" w:cs="Arial"/>
                <w:bCs/>
                <w:color w:val="1F3864" w:themeColor="accent1" w:themeShade="80"/>
                <w:sz w:val="22"/>
              </w:rPr>
            </w:pPr>
          </w:p>
        </w:tc>
      </w:tr>
    </w:tbl>
    <w:p w14:paraId="316A173A" w14:textId="77777777" w:rsidR="00D14E61" w:rsidRPr="00DA37FF" w:rsidRDefault="00D14E61" w:rsidP="00D14E61">
      <w:pPr>
        <w:rPr>
          <w:rFonts w:ascii="Nunito" w:hAnsi="Nunito" w:cs="Arial"/>
          <w:bCs/>
          <w:color w:val="1F3864" w:themeColor="accent1" w:themeShade="80"/>
          <w:sz w:val="22"/>
          <w:szCs w:val="22"/>
        </w:rPr>
      </w:pPr>
    </w:p>
    <w:p w14:paraId="4E09E1CA" w14:textId="77777777" w:rsidR="00D14E61" w:rsidRPr="00DA37FF" w:rsidRDefault="00D14E61" w:rsidP="00D14E61">
      <w:pPr>
        <w:jc w:val="both"/>
        <w:rPr>
          <w:rFonts w:ascii="Nunito" w:hAnsi="Nunito" w:cs="Arial"/>
          <w:b/>
          <w:color w:val="1F3864" w:themeColor="accent1" w:themeShade="80"/>
          <w:sz w:val="22"/>
        </w:rPr>
      </w:pPr>
      <w:r w:rsidRPr="00DA37FF">
        <w:rPr>
          <w:rFonts w:ascii="Nunito" w:hAnsi="Nunito" w:cs="Arial"/>
          <w:b/>
          <w:color w:val="1F3864" w:themeColor="accent1" w:themeShade="80"/>
          <w:sz w:val="22"/>
        </w:rPr>
        <w:t>4. Planning and Organising</w:t>
      </w:r>
    </w:p>
    <w:p w14:paraId="6C27D46D" w14:textId="77777777" w:rsidR="00D14E61" w:rsidRPr="00DA37FF" w:rsidRDefault="00D14E61" w:rsidP="00D14E61">
      <w:pPr>
        <w:numPr>
          <w:ilvl w:val="0"/>
          <w:numId w:val="5"/>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 xml:space="preserve">Plan and organise required project meetings (occurring 6-weekly and annually) in locations either via MS Teams or at project partners across Europe, including venue hire, agenda setting, catering, travel, </w:t>
      </w:r>
      <w:proofErr w:type="gramStart"/>
      <w:r w:rsidRPr="00DA37FF">
        <w:rPr>
          <w:rFonts w:ascii="Nunito" w:hAnsi="Nunito" w:cs="Arial"/>
          <w:bCs/>
          <w:color w:val="1F3864" w:themeColor="accent1" w:themeShade="80"/>
          <w:sz w:val="22"/>
        </w:rPr>
        <w:t>accommodation</w:t>
      </w:r>
      <w:proofErr w:type="gramEnd"/>
      <w:r w:rsidRPr="00DA37FF">
        <w:rPr>
          <w:rFonts w:ascii="Nunito" w:hAnsi="Nunito" w:cs="Arial"/>
          <w:bCs/>
          <w:color w:val="1F3864" w:themeColor="accent1" w:themeShade="80"/>
          <w:sz w:val="22"/>
        </w:rPr>
        <w:t xml:space="preserve"> and all other requirements.</w:t>
      </w:r>
    </w:p>
    <w:p w14:paraId="4F0D55D4" w14:textId="77777777" w:rsidR="00D14E61" w:rsidRPr="00DA37FF" w:rsidRDefault="00D14E61" w:rsidP="00D14E61">
      <w:pPr>
        <w:numPr>
          <w:ilvl w:val="0"/>
          <w:numId w:val="5"/>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Provide co-ordinating of information for reporting requirements (as required for ACES and in month 24).</w:t>
      </w:r>
    </w:p>
    <w:p w14:paraId="4DA28626" w14:textId="77777777" w:rsidR="00D14E61" w:rsidRPr="00DA37FF" w:rsidRDefault="00D14E61" w:rsidP="00D14E61">
      <w:pPr>
        <w:numPr>
          <w:ilvl w:val="0"/>
          <w:numId w:val="5"/>
        </w:numPr>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Organise pastoral and other relevant support for students, particularly those with additional needs, ensuring they are signposted to the portals available to them.  Monitor attendance patterns and outcomes and check in on any students requiring additional support.</w:t>
      </w:r>
    </w:p>
    <w:p w14:paraId="6F013B5D" w14:textId="77777777" w:rsidR="00D14E61" w:rsidRPr="00DA37FF" w:rsidRDefault="00D14E61" w:rsidP="00D14E61">
      <w:pPr>
        <w:spacing w:after="120"/>
        <w:ind w:left="714"/>
        <w:jc w:val="both"/>
        <w:rPr>
          <w:rFonts w:ascii="Nunito" w:hAnsi="Nunito" w:cs="Arial"/>
          <w:bCs/>
          <w:color w:val="1F3864" w:themeColor="accent1" w:themeShade="80"/>
          <w:sz w:val="22"/>
        </w:rPr>
      </w:pPr>
    </w:p>
    <w:p w14:paraId="1D4F5DA4" w14:textId="77777777" w:rsidR="00D14E61" w:rsidRPr="00DA37FF" w:rsidRDefault="00D14E61" w:rsidP="00D14E61">
      <w:pPr>
        <w:jc w:val="both"/>
        <w:rPr>
          <w:rFonts w:ascii="Nunito" w:hAnsi="Nunito" w:cs="Arial"/>
          <w:b/>
          <w:color w:val="1F3864" w:themeColor="accent1" w:themeShade="80"/>
          <w:sz w:val="22"/>
        </w:rPr>
      </w:pPr>
      <w:r w:rsidRPr="00DA37FF">
        <w:rPr>
          <w:rFonts w:ascii="Nunito" w:hAnsi="Nunito" w:cs="Arial"/>
          <w:b/>
          <w:color w:val="1F3864" w:themeColor="accent1" w:themeShade="80"/>
          <w:sz w:val="22"/>
        </w:rPr>
        <w:t>5. Problem-Solving</w:t>
      </w:r>
    </w:p>
    <w:p w14:paraId="08C823FD" w14:textId="77777777" w:rsidR="00D14E61" w:rsidRPr="00DA37FF" w:rsidRDefault="00D14E61" w:rsidP="00D14E61">
      <w:pPr>
        <w:numPr>
          <w:ilvl w:val="0"/>
          <w:numId w:val="4"/>
        </w:numPr>
        <w:spacing w:after="120"/>
        <w:ind w:left="714" w:hanging="357"/>
        <w:jc w:val="both"/>
        <w:rPr>
          <w:rFonts w:ascii="Nunito" w:hAnsi="Nunito" w:cs="Arial"/>
          <w:color w:val="1F3864" w:themeColor="accent1" w:themeShade="80"/>
          <w:sz w:val="22"/>
        </w:rPr>
      </w:pPr>
      <w:r w:rsidRPr="00DA37FF">
        <w:rPr>
          <w:rFonts w:ascii="Nunito" w:hAnsi="Nunito" w:cs="Arial"/>
          <w:color w:val="1F3864" w:themeColor="accent1" w:themeShade="80"/>
          <w:sz w:val="22"/>
        </w:rPr>
        <w:t xml:space="preserve">The Education Administrator must effectively manage communications with students, academic </w:t>
      </w:r>
      <w:proofErr w:type="gramStart"/>
      <w:r w:rsidRPr="00DA37FF">
        <w:rPr>
          <w:rFonts w:ascii="Nunito" w:hAnsi="Nunito" w:cs="Arial"/>
          <w:color w:val="1F3864" w:themeColor="accent1" w:themeShade="80"/>
          <w:sz w:val="22"/>
        </w:rPr>
        <w:t>partners</w:t>
      </w:r>
      <w:proofErr w:type="gramEnd"/>
      <w:r w:rsidRPr="00DA37FF">
        <w:rPr>
          <w:rFonts w:ascii="Nunito" w:hAnsi="Nunito" w:cs="Arial"/>
          <w:color w:val="1F3864" w:themeColor="accent1" w:themeShade="80"/>
          <w:sz w:val="22"/>
        </w:rPr>
        <w:t xml:space="preserve"> and the EU project officer, requiring careful thought, precision and diplomacy.  </w:t>
      </w:r>
    </w:p>
    <w:p w14:paraId="445F84C8" w14:textId="10D1D398" w:rsidR="00D14E61" w:rsidRDefault="00D14E61" w:rsidP="00DA37FF">
      <w:pPr>
        <w:numPr>
          <w:ilvl w:val="0"/>
          <w:numId w:val="4"/>
        </w:numPr>
        <w:spacing w:after="120"/>
        <w:ind w:left="714" w:hanging="357"/>
        <w:jc w:val="both"/>
        <w:rPr>
          <w:rFonts w:ascii="Nunito" w:hAnsi="Nunito" w:cs="Arial"/>
          <w:color w:val="1F3864" w:themeColor="accent1" w:themeShade="80"/>
          <w:sz w:val="22"/>
        </w:rPr>
      </w:pPr>
      <w:r w:rsidRPr="00DA37FF">
        <w:rPr>
          <w:rFonts w:ascii="Nunito" w:hAnsi="Nunito" w:cs="Arial"/>
          <w:color w:val="1F3864" w:themeColor="accent1" w:themeShade="80"/>
          <w:sz w:val="22"/>
        </w:rPr>
        <w:t>The Education Administrator must manage the recruitment and student management process, including exam boards</w:t>
      </w:r>
      <w:r w:rsidR="00221C12">
        <w:rPr>
          <w:rFonts w:ascii="Nunito" w:hAnsi="Nunito" w:cs="Arial"/>
          <w:color w:val="1F3864" w:themeColor="accent1" w:themeShade="80"/>
          <w:sz w:val="22"/>
        </w:rPr>
        <w:t xml:space="preserve"> and insurance</w:t>
      </w:r>
      <w:r w:rsidRPr="00DA37FF">
        <w:rPr>
          <w:rFonts w:ascii="Nunito" w:hAnsi="Nunito" w:cs="Arial"/>
          <w:color w:val="1F3864" w:themeColor="accent1" w:themeShade="80"/>
          <w:sz w:val="22"/>
        </w:rPr>
        <w:t>, resolving problems in accordance with EU guidelines and university regulations.</w:t>
      </w:r>
    </w:p>
    <w:p w14:paraId="3886D94C" w14:textId="77777777" w:rsidR="00DA37FF" w:rsidRPr="00DA37FF" w:rsidRDefault="00DA37FF" w:rsidP="00DA37FF">
      <w:pPr>
        <w:spacing w:after="120"/>
        <w:ind w:left="714"/>
        <w:jc w:val="both"/>
        <w:rPr>
          <w:rFonts w:ascii="Nunito" w:hAnsi="Nunito" w:cs="Arial"/>
          <w:color w:val="1F3864" w:themeColor="accent1" w:themeShade="80"/>
          <w:sz w:val="22"/>
        </w:rPr>
      </w:pPr>
    </w:p>
    <w:p w14:paraId="1F75D1D0" w14:textId="77777777" w:rsidR="00D14E61" w:rsidRPr="00DA37FF" w:rsidRDefault="00D14E61" w:rsidP="00D14E61">
      <w:pPr>
        <w:jc w:val="both"/>
        <w:rPr>
          <w:rFonts w:ascii="Nunito" w:hAnsi="Nunito" w:cs="Arial"/>
          <w:b/>
          <w:color w:val="1F3864" w:themeColor="accent1" w:themeShade="80"/>
          <w:sz w:val="22"/>
        </w:rPr>
      </w:pPr>
      <w:r w:rsidRPr="00DA37FF">
        <w:rPr>
          <w:rFonts w:ascii="Nunito" w:hAnsi="Nunito" w:cs="Arial"/>
          <w:b/>
          <w:color w:val="1F3864" w:themeColor="accent1" w:themeShade="80"/>
          <w:sz w:val="22"/>
        </w:rPr>
        <w:t>6. Decision-Making</w:t>
      </w:r>
    </w:p>
    <w:p w14:paraId="05FEDFC0" w14:textId="77777777" w:rsidR="00D14E61" w:rsidRPr="00DA37FF" w:rsidRDefault="00D14E61" w:rsidP="00D14E61">
      <w:pPr>
        <w:numPr>
          <w:ilvl w:val="0"/>
          <w:numId w:val="3"/>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Make decision on matters pertaining to student management to ensure high quality student experience and compliance with UHI and EC regulations</w:t>
      </w:r>
    </w:p>
    <w:p w14:paraId="1DDA6B4B" w14:textId="77777777" w:rsidR="00D14E61" w:rsidRPr="00DA37FF" w:rsidRDefault="00D14E61" w:rsidP="00D14E61">
      <w:pPr>
        <w:numPr>
          <w:ilvl w:val="0"/>
          <w:numId w:val="3"/>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Decide on meeting locations, venues, agendas, and other programme details together with the project coordinator.</w:t>
      </w:r>
    </w:p>
    <w:p w14:paraId="5F52EBF8" w14:textId="77777777" w:rsidR="00D14E61" w:rsidRPr="00DA37FF" w:rsidRDefault="00D14E61" w:rsidP="00D14E61">
      <w:pPr>
        <w:numPr>
          <w:ilvl w:val="0"/>
          <w:numId w:val="3"/>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Decide the best way of communicating information to partners (and to whom), or of collecting information from partners, for the purposes of reporting, financial claims, planning and day-to-day administration.</w:t>
      </w:r>
    </w:p>
    <w:p w14:paraId="0B336D20" w14:textId="77777777" w:rsidR="00D14E61" w:rsidRPr="00DA37FF" w:rsidRDefault="00D14E61" w:rsidP="00D14E61">
      <w:pPr>
        <w:spacing w:after="120"/>
        <w:ind w:left="714"/>
        <w:jc w:val="both"/>
        <w:rPr>
          <w:rFonts w:ascii="Nunito" w:hAnsi="Nunito" w:cs="Arial"/>
          <w:bCs/>
          <w:color w:val="1F3864" w:themeColor="accent1" w:themeShade="80"/>
          <w:sz w:val="22"/>
        </w:rPr>
      </w:pPr>
    </w:p>
    <w:p w14:paraId="4EEE2AE8" w14:textId="77777777" w:rsidR="00D14E61" w:rsidRPr="00DA37FF" w:rsidRDefault="00D14E61" w:rsidP="00D14E61">
      <w:pPr>
        <w:jc w:val="both"/>
        <w:rPr>
          <w:rFonts w:ascii="Nunito" w:hAnsi="Nunito" w:cs="Arial"/>
          <w:b/>
          <w:color w:val="1F3864" w:themeColor="accent1" w:themeShade="80"/>
          <w:sz w:val="22"/>
        </w:rPr>
      </w:pPr>
      <w:r w:rsidRPr="00DA37FF">
        <w:rPr>
          <w:rFonts w:ascii="Nunito" w:hAnsi="Nunito" w:cs="Arial"/>
          <w:b/>
          <w:color w:val="1F3864" w:themeColor="accent1" w:themeShade="80"/>
          <w:sz w:val="22"/>
        </w:rPr>
        <w:lastRenderedPageBreak/>
        <w:t xml:space="preserve">7. Key Contacts/Relationships  </w:t>
      </w:r>
    </w:p>
    <w:p w14:paraId="21F0EEA9" w14:textId="77777777" w:rsidR="00D14E61" w:rsidRPr="00DA37FF" w:rsidRDefault="00D14E61" w:rsidP="00D14E61">
      <w:pPr>
        <w:numPr>
          <w:ilvl w:val="0"/>
          <w:numId w:val="2"/>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SAMS staff working on ACES and staff in Education and Grants and Contracts</w:t>
      </w:r>
    </w:p>
    <w:p w14:paraId="33007DD8" w14:textId="77777777" w:rsidR="00D14E61" w:rsidRPr="00DA37FF" w:rsidRDefault="00D14E61" w:rsidP="00D14E61">
      <w:pPr>
        <w:numPr>
          <w:ilvl w:val="0"/>
          <w:numId w:val="2"/>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Supervisors/ lecturers at project partner institutions, and their admin and finance assistants</w:t>
      </w:r>
    </w:p>
    <w:p w14:paraId="34E8A701" w14:textId="77777777" w:rsidR="00D14E61" w:rsidRPr="00DA37FF" w:rsidRDefault="00D14E61" w:rsidP="00D14E61">
      <w:pPr>
        <w:numPr>
          <w:ilvl w:val="0"/>
          <w:numId w:val="2"/>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Project officers at European Commission</w:t>
      </w:r>
    </w:p>
    <w:p w14:paraId="5C5B9B8A" w14:textId="77777777" w:rsidR="00D14E61" w:rsidRPr="00DA37FF" w:rsidRDefault="00D14E61" w:rsidP="00D14E61">
      <w:pPr>
        <w:numPr>
          <w:ilvl w:val="0"/>
          <w:numId w:val="2"/>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Coordinators of other EU projects to share best practices and to network within subject areas.</w:t>
      </w:r>
    </w:p>
    <w:p w14:paraId="416AF698" w14:textId="77777777" w:rsidR="00D14E61" w:rsidRPr="00DA37FF" w:rsidRDefault="00D14E61" w:rsidP="00D14E61">
      <w:pPr>
        <w:spacing w:after="120"/>
        <w:ind w:left="714"/>
        <w:jc w:val="both"/>
        <w:rPr>
          <w:rFonts w:ascii="Nunito" w:hAnsi="Nunito" w:cs="Arial"/>
          <w:bCs/>
          <w:color w:val="1F3864" w:themeColor="accent1" w:themeShade="80"/>
          <w:sz w:val="22"/>
        </w:rPr>
      </w:pPr>
    </w:p>
    <w:p w14:paraId="3F82E98E" w14:textId="24B020AA" w:rsidR="00D14E61" w:rsidRPr="00DA37FF" w:rsidRDefault="00D14E61" w:rsidP="009A7B5A">
      <w:pPr>
        <w:rPr>
          <w:rFonts w:ascii="Nunito" w:hAnsi="Nunito" w:cs="Arial"/>
          <w:b/>
          <w:color w:val="1F3864" w:themeColor="accent1" w:themeShade="80"/>
          <w:sz w:val="22"/>
        </w:rPr>
      </w:pPr>
      <w:r w:rsidRPr="00DA37FF">
        <w:rPr>
          <w:rFonts w:ascii="Nunito" w:hAnsi="Nunito" w:cs="Arial"/>
          <w:b/>
          <w:color w:val="1F3864" w:themeColor="accent1" w:themeShade="80"/>
          <w:sz w:val="22"/>
        </w:rPr>
        <w:t xml:space="preserve">8. Knowledge, Skills and Experience needed for the Job </w:t>
      </w:r>
    </w:p>
    <w:p w14:paraId="1C46B93D" w14:textId="77777777" w:rsidR="00D14E61" w:rsidRPr="00DA37FF" w:rsidRDefault="00D14E61" w:rsidP="00D14E61">
      <w:pPr>
        <w:numPr>
          <w:ilvl w:val="0"/>
          <w:numId w:val="8"/>
        </w:numPr>
        <w:spacing w:after="120"/>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 xml:space="preserve">A degree qualification in Business Studies, Administration or similar, or with relevant experience in project management.   </w:t>
      </w:r>
    </w:p>
    <w:p w14:paraId="603D2C07" w14:textId="5B1A658E" w:rsidR="00D14E61" w:rsidRPr="00DA37FF" w:rsidRDefault="00D14E61" w:rsidP="00D14E61">
      <w:pPr>
        <w:numPr>
          <w:ilvl w:val="0"/>
          <w:numId w:val="7"/>
        </w:numPr>
        <w:spacing w:after="120"/>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Experience of postgraduate student management</w:t>
      </w:r>
      <w:r w:rsidR="00221C12">
        <w:rPr>
          <w:rFonts w:ascii="Nunito" w:hAnsi="Nunito" w:cs="Arial"/>
          <w:bCs/>
          <w:color w:val="1F3864" w:themeColor="accent1" w:themeShade="80"/>
          <w:sz w:val="22"/>
          <w:szCs w:val="22"/>
        </w:rPr>
        <w:t>, GDPR legislation and practices</w:t>
      </w:r>
      <w:r w:rsidRPr="00DA37FF">
        <w:rPr>
          <w:rFonts w:ascii="Nunito" w:hAnsi="Nunito" w:cs="Arial"/>
          <w:bCs/>
          <w:color w:val="1F3864" w:themeColor="accent1" w:themeShade="80"/>
          <w:sz w:val="22"/>
          <w:szCs w:val="22"/>
        </w:rPr>
        <w:t xml:space="preserve"> and </w:t>
      </w:r>
      <w:r w:rsidR="00221C12">
        <w:rPr>
          <w:rFonts w:ascii="Nunito" w:hAnsi="Nunito" w:cs="Arial"/>
          <w:bCs/>
          <w:color w:val="1F3864" w:themeColor="accent1" w:themeShade="80"/>
          <w:sz w:val="22"/>
          <w:szCs w:val="22"/>
        </w:rPr>
        <w:t xml:space="preserve">student </w:t>
      </w:r>
      <w:r w:rsidRPr="00DA37FF">
        <w:rPr>
          <w:rFonts w:ascii="Nunito" w:hAnsi="Nunito" w:cs="Arial"/>
          <w:bCs/>
          <w:color w:val="1F3864" w:themeColor="accent1" w:themeShade="80"/>
          <w:sz w:val="22"/>
          <w:szCs w:val="22"/>
        </w:rPr>
        <w:t>support is desirable.</w:t>
      </w:r>
    </w:p>
    <w:p w14:paraId="25CF04B3" w14:textId="77777777" w:rsidR="00D14E61" w:rsidRPr="00DA37FF" w:rsidRDefault="00D14E61" w:rsidP="00D14E61">
      <w:pPr>
        <w:numPr>
          <w:ilvl w:val="0"/>
          <w:numId w:val="7"/>
        </w:numPr>
        <w:spacing w:after="120"/>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Excellent communication skills. Able to communicate effectively with individuals/students from different cultures.</w:t>
      </w:r>
    </w:p>
    <w:p w14:paraId="11F4200C" w14:textId="6A303154" w:rsidR="00D14E61" w:rsidRPr="00DA37FF" w:rsidRDefault="00221C12" w:rsidP="00D14E61">
      <w:pPr>
        <w:numPr>
          <w:ilvl w:val="0"/>
          <w:numId w:val="7"/>
        </w:numPr>
        <w:spacing w:after="120"/>
        <w:jc w:val="both"/>
        <w:rPr>
          <w:rFonts w:ascii="Nunito" w:hAnsi="Nunito" w:cs="Arial"/>
          <w:bCs/>
          <w:color w:val="1F3864" w:themeColor="accent1" w:themeShade="80"/>
          <w:sz w:val="22"/>
          <w:szCs w:val="22"/>
        </w:rPr>
      </w:pPr>
      <w:r>
        <w:rPr>
          <w:rFonts w:ascii="Nunito" w:hAnsi="Nunito" w:cs="Arial"/>
          <w:bCs/>
          <w:color w:val="1F3864" w:themeColor="accent1" w:themeShade="80"/>
          <w:sz w:val="22"/>
          <w:szCs w:val="22"/>
        </w:rPr>
        <w:t>E</w:t>
      </w:r>
      <w:r w:rsidR="00D14E61" w:rsidRPr="00DA37FF">
        <w:rPr>
          <w:rFonts w:ascii="Nunito" w:hAnsi="Nunito" w:cs="Arial"/>
          <w:bCs/>
          <w:color w:val="1F3864" w:themeColor="accent1" w:themeShade="80"/>
          <w:sz w:val="22"/>
          <w:szCs w:val="22"/>
        </w:rPr>
        <w:t xml:space="preserve">xperience of Home Office legislation around </w:t>
      </w:r>
      <w:r>
        <w:rPr>
          <w:rFonts w:ascii="Nunito" w:hAnsi="Nunito" w:cs="Arial"/>
          <w:bCs/>
          <w:color w:val="1F3864" w:themeColor="accent1" w:themeShade="80"/>
          <w:sz w:val="22"/>
          <w:szCs w:val="22"/>
        </w:rPr>
        <w:t>v</w:t>
      </w:r>
      <w:r w:rsidR="00D14E61" w:rsidRPr="00DA37FF">
        <w:rPr>
          <w:rFonts w:ascii="Nunito" w:hAnsi="Nunito" w:cs="Arial"/>
          <w:bCs/>
          <w:color w:val="1F3864" w:themeColor="accent1" w:themeShade="80"/>
          <w:sz w:val="22"/>
          <w:szCs w:val="22"/>
        </w:rPr>
        <w:t>isa applications for students coming to the UK.</w:t>
      </w:r>
    </w:p>
    <w:p w14:paraId="5D7E17BE" w14:textId="52195687" w:rsidR="00D14E61" w:rsidRPr="00DA37FF" w:rsidRDefault="00221C12" w:rsidP="00D14E61">
      <w:pPr>
        <w:numPr>
          <w:ilvl w:val="0"/>
          <w:numId w:val="7"/>
        </w:numPr>
        <w:spacing w:after="120"/>
        <w:jc w:val="both"/>
        <w:rPr>
          <w:rFonts w:ascii="Nunito" w:hAnsi="Nunito" w:cs="Arial"/>
          <w:bCs/>
          <w:color w:val="1F3864" w:themeColor="accent1" w:themeShade="80"/>
          <w:sz w:val="22"/>
          <w:szCs w:val="22"/>
        </w:rPr>
      </w:pPr>
      <w:r>
        <w:rPr>
          <w:rFonts w:ascii="Nunito" w:hAnsi="Nunito" w:cs="Arial"/>
          <w:bCs/>
          <w:color w:val="1F3864" w:themeColor="accent1" w:themeShade="80"/>
          <w:sz w:val="22"/>
          <w:szCs w:val="22"/>
        </w:rPr>
        <w:t>E</w:t>
      </w:r>
      <w:r w:rsidR="00D14E61" w:rsidRPr="00DA37FF">
        <w:rPr>
          <w:rFonts w:ascii="Nunito" w:hAnsi="Nunito" w:cs="Arial"/>
          <w:bCs/>
          <w:color w:val="1F3864" w:themeColor="accent1" w:themeShade="80"/>
          <w:sz w:val="22"/>
          <w:szCs w:val="22"/>
        </w:rPr>
        <w:t>xperience of organising and attending meetings and minute taking.</w:t>
      </w:r>
    </w:p>
    <w:p w14:paraId="4961B462" w14:textId="77777777" w:rsidR="00D14E61" w:rsidRPr="00DA37FF" w:rsidRDefault="00D14E61" w:rsidP="00D14E61">
      <w:pPr>
        <w:numPr>
          <w:ilvl w:val="0"/>
          <w:numId w:val="7"/>
        </w:numPr>
        <w:spacing w:after="120"/>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 xml:space="preserve">Reliable and able to cope during times of pressure. </w:t>
      </w:r>
    </w:p>
    <w:p w14:paraId="4451DDB5" w14:textId="77777777" w:rsidR="00D14E61" w:rsidRPr="00DA37FF" w:rsidRDefault="00D14E61" w:rsidP="00D14E61">
      <w:pPr>
        <w:numPr>
          <w:ilvl w:val="0"/>
          <w:numId w:val="7"/>
        </w:numPr>
        <w:spacing w:after="120"/>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Highly organised, capable of multi-tasking, with attention to detail and manage a varied workload.</w:t>
      </w:r>
    </w:p>
    <w:p w14:paraId="13B334E2" w14:textId="77777777" w:rsidR="00D14E61" w:rsidRPr="00DA37FF" w:rsidRDefault="00D14E61" w:rsidP="00D14E61">
      <w:pPr>
        <w:numPr>
          <w:ilvl w:val="0"/>
          <w:numId w:val="7"/>
        </w:numPr>
        <w:spacing w:after="120"/>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 xml:space="preserve">Although part of a small team, able to work independently and resolve problems within own area of work as well as assist with more complex queries.   </w:t>
      </w:r>
    </w:p>
    <w:p w14:paraId="5D008A8E" w14:textId="77777777" w:rsidR="00D14E61" w:rsidRPr="00DA37FF" w:rsidRDefault="00D14E61" w:rsidP="00D14E61">
      <w:pPr>
        <w:numPr>
          <w:ilvl w:val="0"/>
          <w:numId w:val="7"/>
        </w:numPr>
        <w:spacing w:after="120"/>
        <w:jc w:val="both"/>
        <w:rPr>
          <w:rFonts w:ascii="Nunito" w:hAnsi="Nunito" w:cs="Arial"/>
          <w:bCs/>
          <w:color w:val="1F3864" w:themeColor="accent1" w:themeShade="80"/>
          <w:sz w:val="22"/>
          <w:szCs w:val="22"/>
        </w:rPr>
      </w:pPr>
      <w:r w:rsidRPr="00DA37FF">
        <w:rPr>
          <w:rFonts w:ascii="Nunito" w:hAnsi="Nunito" w:cs="Arial"/>
          <w:bCs/>
          <w:color w:val="1F3864" w:themeColor="accent1" w:themeShade="80"/>
          <w:sz w:val="22"/>
          <w:szCs w:val="22"/>
        </w:rPr>
        <w:t xml:space="preserve">Flexible with an ability to undertake foreign travel, if required. </w:t>
      </w:r>
    </w:p>
    <w:p w14:paraId="78D05C39" w14:textId="77777777" w:rsidR="00D14E61" w:rsidRPr="00DA37FF" w:rsidRDefault="00D14E61" w:rsidP="00D14E61">
      <w:pPr>
        <w:spacing w:after="120"/>
        <w:ind w:left="720"/>
        <w:jc w:val="both"/>
        <w:rPr>
          <w:rFonts w:ascii="Nunito" w:hAnsi="Nunito" w:cs="Arial"/>
          <w:bCs/>
          <w:color w:val="1F3864" w:themeColor="accent1" w:themeShade="80"/>
          <w:sz w:val="22"/>
          <w:szCs w:val="22"/>
        </w:rPr>
      </w:pPr>
    </w:p>
    <w:p w14:paraId="6C6EF376" w14:textId="77777777" w:rsidR="00D14E61" w:rsidRPr="00DA37FF" w:rsidRDefault="00D14E61" w:rsidP="00D14E61">
      <w:pPr>
        <w:keepNext/>
        <w:jc w:val="both"/>
        <w:outlineLvl w:val="0"/>
        <w:rPr>
          <w:rFonts w:ascii="Nunito" w:hAnsi="Nunito" w:cs="Arial"/>
          <w:b/>
          <w:color w:val="1F3864" w:themeColor="accent1" w:themeShade="80"/>
          <w:sz w:val="22"/>
        </w:rPr>
      </w:pPr>
      <w:r w:rsidRPr="00DA37FF">
        <w:rPr>
          <w:rFonts w:ascii="Nunito" w:hAnsi="Nunito" w:cs="Arial"/>
          <w:b/>
          <w:color w:val="1F3864" w:themeColor="accent1" w:themeShade="80"/>
          <w:sz w:val="22"/>
        </w:rPr>
        <w:t xml:space="preserve">9. Dimensions – Scope of role </w:t>
      </w:r>
    </w:p>
    <w:p w14:paraId="777EE056" w14:textId="77777777" w:rsidR="00D14E61" w:rsidRPr="00DA37FF" w:rsidRDefault="00D14E61" w:rsidP="00D14E61">
      <w:pPr>
        <w:numPr>
          <w:ilvl w:val="0"/>
          <w:numId w:val="6"/>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A customer facing role which is mainly office based.</w:t>
      </w:r>
    </w:p>
    <w:p w14:paraId="597147CA" w14:textId="77777777" w:rsidR="00D14E61" w:rsidRPr="00DA37FF" w:rsidRDefault="00D14E61" w:rsidP="00D14E61">
      <w:pPr>
        <w:numPr>
          <w:ilvl w:val="0"/>
          <w:numId w:val="6"/>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This post will mainly work closely with The Programme Manager, staff within the Education team as well as with students.</w:t>
      </w:r>
    </w:p>
    <w:p w14:paraId="69DBF6A8" w14:textId="77777777" w:rsidR="00D14E61" w:rsidRPr="00DA37FF" w:rsidRDefault="00D14E61" w:rsidP="00D14E61">
      <w:pPr>
        <w:numPr>
          <w:ilvl w:val="0"/>
          <w:numId w:val="6"/>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 xml:space="preserve">This is an administrative role with </w:t>
      </w:r>
      <w:proofErr w:type="gramStart"/>
      <w:r w:rsidRPr="00DA37FF">
        <w:rPr>
          <w:rFonts w:ascii="Nunito" w:hAnsi="Nunito" w:cs="Arial"/>
          <w:bCs/>
          <w:color w:val="1F3864" w:themeColor="accent1" w:themeShade="80"/>
          <w:sz w:val="22"/>
        </w:rPr>
        <w:t>a number of</w:t>
      </w:r>
      <w:proofErr w:type="gramEnd"/>
      <w:r w:rsidRPr="00DA37FF">
        <w:rPr>
          <w:rFonts w:ascii="Nunito" w:hAnsi="Nunito" w:cs="Arial"/>
          <w:bCs/>
          <w:color w:val="1F3864" w:themeColor="accent1" w:themeShade="80"/>
          <w:sz w:val="22"/>
        </w:rPr>
        <w:t xml:space="preserve"> responsibility areas which they will be expected to manage successfully, deliver work timely to quality and accuracy.</w:t>
      </w:r>
    </w:p>
    <w:p w14:paraId="369288E9" w14:textId="77777777" w:rsidR="00D14E61" w:rsidRPr="00DA37FF" w:rsidRDefault="00D14E61" w:rsidP="00D14E61">
      <w:pPr>
        <w:numPr>
          <w:ilvl w:val="0"/>
          <w:numId w:val="6"/>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There may be flexibility required at times when work deadlines are close.</w:t>
      </w:r>
    </w:p>
    <w:p w14:paraId="2E9B327B" w14:textId="77777777" w:rsidR="00D14E61" w:rsidRPr="00DA37FF" w:rsidRDefault="00D14E61" w:rsidP="00D14E61">
      <w:pPr>
        <w:numPr>
          <w:ilvl w:val="0"/>
          <w:numId w:val="6"/>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 xml:space="preserve">The working hours are 22.2 hrs per week.  These hours can be worked flexibly over Mon to Fri </w:t>
      </w:r>
      <w:proofErr w:type="gramStart"/>
      <w:r w:rsidRPr="00DA37FF">
        <w:rPr>
          <w:rFonts w:ascii="Nunito" w:hAnsi="Nunito" w:cs="Arial"/>
          <w:bCs/>
          <w:color w:val="1F3864" w:themeColor="accent1" w:themeShade="80"/>
          <w:sz w:val="22"/>
        </w:rPr>
        <w:t>as long as</w:t>
      </w:r>
      <w:proofErr w:type="gramEnd"/>
      <w:r w:rsidRPr="00DA37FF">
        <w:rPr>
          <w:rFonts w:ascii="Nunito" w:hAnsi="Nunito" w:cs="Arial"/>
          <w:bCs/>
          <w:color w:val="1F3864" w:themeColor="accent1" w:themeShade="80"/>
          <w:sz w:val="22"/>
        </w:rPr>
        <w:t xml:space="preserve"> they meet the job requirements.</w:t>
      </w:r>
    </w:p>
    <w:p w14:paraId="12EC5860" w14:textId="77777777" w:rsidR="00D14E61" w:rsidRPr="00DA37FF" w:rsidRDefault="00D14E61" w:rsidP="00D14E61">
      <w:pPr>
        <w:numPr>
          <w:ilvl w:val="0"/>
          <w:numId w:val="6"/>
        </w:numPr>
        <w:spacing w:after="120"/>
        <w:ind w:left="714" w:hanging="357"/>
        <w:jc w:val="both"/>
        <w:rPr>
          <w:rFonts w:ascii="Nunito" w:hAnsi="Nunito" w:cs="Arial"/>
          <w:bCs/>
          <w:color w:val="1F3864" w:themeColor="accent1" w:themeShade="80"/>
          <w:sz w:val="22"/>
        </w:rPr>
      </w:pPr>
      <w:r w:rsidRPr="00DA37FF">
        <w:rPr>
          <w:rFonts w:ascii="Nunito" w:hAnsi="Nunito" w:cs="Arial"/>
          <w:bCs/>
          <w:color w:val="1F3864" w:themeColor="accent1" w:themeShade="80"/>
          <w:sz w:val="22"/>
        </w:rPr>
        <w:t xml:space="preserve">There may be some travel required within the UK and occasionally </w:t>
      </w:r>
      <w:proofErr w:type="gramStart"/>
      <w:r w:rsidRPr="00DA37FF">
        <w:rPr>
          <w:rFonts w:ascii="Nunito" w:hAnsi="Nunito" w:cs="Arial"/>
          <w:bCs/>
          <w:color w:val="1F3864" w:themeColor="accent1" w:themeShade="80"/>
          <w:sz w:val="22"/>
        </w:rPr>
        <w:t>internationally</w:t>
      </w:r>
      <w:proofErr w:type="gramEnd"/>
      <w:r w:rsidRPr="00DA37FF">
        <w:rPr>
          <w:rFonts w:ascii="Nunito" w:hAnsi="Nunito" w:cs="Arial"/>
          <w:bCs/>
          <w:color w:val="1F3864" w:themeColor="accent1" w:themeShade="80"/>
          <w:sz w:val="22"/>
        </w:rPr>
        <w:t xml:space="preserve"> but any travel arrangements are discussed and agreed well in advance.</w:t>
      </w:r>
    </w:p>
    <w:p w14:paraId="10071D7D" w14:textId="77777777" w:rsidR="00D14E61" w:rsidRPr="00DA37FF" w:rsidRDefault="00D14E61" w:rsidP="00D14E61">
      <w:pPr>
        <w:jc w:val="both"/>
        <w:rPr>
          <w:rFonts w:ascii="Arial" w:hAnsi="Arial" w:cs="Arial"/>
          <w:bCs/>
          <w:color w:val="1F3864" w:themeColor="accent1" w:themeShade="80"/>
          <w:sz w:val="22"/>
        </w:rPr>
      </w:pPr>
    </w:p>
    <w:p w14:paraId="5BD6270D" w14:textId="77777777" w:rsidR="008A66D1" w:rsidRPr="009B5F63" w:rsidRDefault="008A66D1" w:rsidP="008A66D1">
      <w:pPr>
        <w:rPr>
          <w:rFonts w:ascii="Nunito" w:hAnsi="Nunito" w:cs="Arial"/>
          <w:b/>
          <w:bCs/>
          <w:color w:val="002060"/>
          <w:sz w:val="22"/>
          <w:szCs w:val="22"/>
        </w:rPr>
      </w:pPr>
      <w:r w:rsidRPr="009B5F63">
        <w:rPr>
          <w:rFonts w:ascii="Nunito" w:hAnsi="Nunito" w:cs="Arial"/>
          <w:b/>
          <w:color w:val="002060"/>
          <w:sz w:val="22"/>
          <w:szCs w:val="22"/>
        </w:rPr>
        <w:t>10. Any other relevant information</w:t>
      </w:r>
    </w:p>
    <w:p w14:paraId="41A5142F" w14:textId="77777777" w:rsidR="008A66D1" w:rsidRDefault="008A66D1" w:rsidP="008A66D1">
      <w:pPr>
        <w:jc w:val="both"/>
        <w:rPr>
          <w:rFonts w:ascii="Nunito" w:hAnsi="Nunito" w:cs="Arial"/>
          <w:color w:val="002060"/>
          <w:sz w:val="22"/>
          <w:szCs w:val="22"/>
        </w:rPr>
      </w:pPr>
      <w:r w:rsidRPr="009B5F63">
        <w:rPr>
          <w:rFonts w:ascii="Nunito" w:hAnsi="Nunito" w:cs="Arial"/>
          <w:color w:val="002060"/>
          <w:sz w:val="22"/>
          <w:szCs w:val="22"/>
        </w:rPr>
        <w:lastRenderedPageBreak/>
        <w:t xml:space="preserve">The post holder may be required to perform duties other than those given in the job description for the post.  The </w:t>
      </w:r>
      <w:proofErr w:type="gramStart"/>
      <w:r w:rsidRPr="009B5F63">
        <w:rPr>
          <w:rFonts w:ascii="Nunito" w:hAnsi="Nunito" w:cs="Arial"/>
          <w:color w:val="002060"/>
          <w:sz w:val="22"/>
          <w:szCs w:val="22"/>
        </w:rPr>
        <w:t>particular duties</w:t>
      </w:r>
      <w:proofErr w:type="gramEnd"/>
      <w:r w:rsidRPr="009B5F63">
        <w:rPr>
          <w:rFonts w:ascii="Nunito" w:hAnsi="Nunito" w:cs="Arial"/>
          <w:color w:val="002060"/>
          <w:sz w:val="22"/>
          <w:szCs w:val="22"/>
        </w:rPr>
        <w:t xml:space="preserve"> and responsibilities attached to posts may vary from time to time without changing the general character of the duties or the level of responsibilities entailed</w:t>
      </w:r>
      <w:r w:rsidRPr="009B5F63">
        <w:rPr>
          <w:rFonts w:ascii="Nunito" w:hAnsi="Nunito" w:cs="Arial"/>
          <w:b/>
          <w:color w:val="002060"/>
          <w:sz w:val="22"/>
          <w:szCs w:val="22"/>
        </w:rPr>
        <w:t>.</w:t>
      </w:r>
      <w:r w:rsidRPr="009B5F63">
        <w:rPr>
          <w:rFonts w:ascii="Nunito" w:hAnsi="Nunito" w:cs="Arial"/>
          <w:color w:val="002060"/>
          <w:sz w:val="22"/>
          <w:szCs w:val="22"/>
        </w:rPr>
        <w:t xml:space="preserve">  If the normal duties of the post include going to sea (apart from small boats </w:t>
      </w:r>
      <w:proofErr w:type="gramStart"/>
      <w:r w:rsidRPr="009B5F63">
        <w:rPr>
          <w:rFonts w:ascii="Nunito" w:hAnsi="Nunito" w:cs="Arial"/>
          <w:color w:val="002060"/>
          <w:sz w:val="22"/>
          <w:szCs w:val="22"/>
        </w:rPr>
        <w:t>e.g.</w:t>
      </w:r>
      <w:proofErr w:type="gramEnd"/>
      <w:r w:rsidRPr="009B5F63">
        <w:rPr>
          <w:rFonts w:ascii="Nunito" w:hAnsi="Nunito" w:cs="Arial"/>
          <w:color w:val="002060"/>
          <w:sz w:val="22"/>
          <w:szCs w:val="22"/>
        </w:rPr>
        <w:t xml:space="preserve"> RHIB's) the applicant must be able to obtain the ENG1 medical certification and complete the STCW 95 Personal Survival Techniques training.</w:t>
      </w:r>
    </w:p>
    <w:p w14:paraId="75042F94" w14:textId="77777777" w:rsidR="008A66D1" w:rsidRDefault="008A66D1" w:rsidP="008A66D1">
      <w:pPr>
        <w:jc w:val="both"/>
        <w:rPr>
          <w:rFonts w:ascii="Nunito" w:hAnsi="Nunito" w:cs="Arial"/>
          <w:color w:val="002060"/>
          <w:sz w:val="22"/>
          <w:szCs w:val="22"/>
        </w:rPr>
      </w:pPr>
    </w:p>
    <w:p w14:paraId="3CA23F2C" w14:textId="77777777" w:rsidR="008A66D1" w:rsidRPr="008A66D1" w:rsidRDefault="008A66D1" w:rsidP="008A66D1">
      <w:pPr>
        <w:rPr>
          <w:rFonts w:ascii="Nunito" w:eastAsia="Calibri" w:hAnsi="Nunito" w:cs="Arial"/>
          <w:color w:val="33CCFF"/>
          <w:u w:val="single"/>
        </w:rPr>
      </w:pPr>
      <w:r w:rsidRPr="008A66D1">
        <w:rPr>
          <w:rFonts w:ascii="Nunito" w:eastAsia="Calibri" w:hAnsi="Nunito" w:cs="Arial"/>
          <w:color w:val="33CCFF"/>
        </w:rPr>
        <w:fldChar w:fldCharType="begin"/>
      </w:r>
      <w:r w:rsidRPr="008A66D1">
        <w:rPr>
          <w:rFonts w:ascii="Nunito" w:eastAsia="Calibri" w:hAnsi="Nunito" w:cs="Arial"/>
          <w:color w:val="33CCFF"/>
        </w:rPr>
        <w:instrText>HYPERLINK "https://sway.office.com/7GSAUexj0DJC3tZz?ref=Link"</w:instrText>
      </w:r>
      <w:r w:rsidRPr="008A66D1">
        <w:rPr>
          <w:rFonts w:ascii="Nunito" w:eastAsia="Calibri" w:hAnsi="Nunito" w:cs="Arial"/>
          <w:color w:val="33CCFF"/>
        </w:rPr>
      </w:r>
      <w:r w:rsidRPr="008A66D1">
        <w:rPr>
          <w:rFonts w:ascii="Nunito" w:eastAsia="Calibri" w:hAnsi="Nunito" w:cs="Arial"/>
          <w:color w:val="33CCFF"/>
        </w:rPr>
        <w:fldChar w:fldCharType="separate"/>
      </w:r>
      <w:r w:rsidRPr="008A66D1">
        <w:rPr>
          <w:rFonts w:ascii="Nunito" w:eastAsia="Calibri" w:hAnsi="Nunito" w:cs="Arial"/>
          <w:color w:val="33CCFF"/>
          <w:sz w:val="32"/>
          <w:szCs w:val="32"/>
          <w:u w:val="single"/>
        </w:rPr>
        <w:t>WHAT SAMS CAN OFFER YOU</w:t>
      </w:r>
      <w:r w:rsidRPr="008A66D1">
        <w:rPr>
          <w:rFonts w:ascii="Nunito" w:eastAsia="Calibri" w:hAnsi="Nunito" w:cs="Arial"/>
          <w:color w:val="33CCFF"/>
          <w:u w:val="single"/>
        </w:rPr>
        <w:t xml:space="preserve"> </w:t>
      </w:r>
      <w:r w:rsidRPr="008A66D1">
        <w:rPr>
          <w:rFonts w:ascii="Nunito" w:eastAsia="Calibri" w:hAnsi="Nunito" w:cs="Arial"/>
          <w:color w:val="33CCFF"/>
          <w:sz w:val="20"/>
          <w:szCs w:val="20"/>
        </w:rPr>
        <w:t>(please right click and select open in new tab)</w:t>
      </w:r>
    </w:p>
    <w:p w14:paraId="375E3EF2" w14:textId="77777777" w:rsidR="008A66D1" w:rsidRPr="009B5F63" w:rsidRDefault="008A66D1" w:rsidP="008A66D1">
      <w:pPr>
        <w:rPr>
          <w:rFonts w:ascii="Nunito" w:eastAsia="Calibri" w:hAnsi="Nunito" w:cs="Arial"/>
          <w:color w:val="1F3864"/>
        </w:rPr>
      </w:pPr>
      <w:r w:rsidRPr="008A66D1">
        <w:rPr>
          <w:rFonts w:ascii="Nunito" w:eastAsia="Calibri" w:hAnsi="Nunito" w:cs="Arial"/>
          <w:color w:val="33CCFF"/>
        </w:rPr>
        <w:fldChar w:fldCharType="end"/>
      </w:r>
    </w:p>
    <w:p w14:paraId="35A19A17" w14:textId="77777777" w:rsidR="008A66D1" w:rsidRPr="009B5F63" w:rsidRDefault="008A66D1" w:rsidP="009A7B5A">
      <w:pPr>
        <w:shd w:val="clear" w:color="auto" w:fill="1F3864" w:themeFill="accent1" w:themeFillShade="80"/>
        <w:rPr>
          <w:rFonts w:ascii="Nunito" w:eastAsia="Calibri" w:hAnsi="Nunito" w:cs="Arial"/>
          <w:color w:val="FFFFFF"/>
          <w:sz w:val="22"/>
          <w:szCs w:val="22"/>
        </w:rPr>
      </w:pPr>
      <w:r w:rsidRPr="009B5F63">
        <w:rPr>
          <w:rFonts w:ascii="Nunito" w:eastAsia="Calibri" w:hAnsi="Nunito" w:cs="Arial"/>
          <w:color w:val="FFFFFF"/>
          <w:sz w:val="22"/>
          <w:szCs w:val="22"/>
        </w:rPr>
        <w:t>Our Values and culture</w:t>
      </w:r>
    </w:p>
    <w:p w14:paraId="13A12579" w14:textId="77777777" w:rsidR="008A66D1" w:rsidRPr="009B5F63" w:rsidRDefault="008A66D1" w:rsidP="008A66D1">
      <w:pPr>
        <w:jc w:val="both"/>
        <w:rPr>
          <w:rFonts w:ascii="Nunito" w:eastAsia="Calibri" w:hAnsi="Nunito" w:cs="Arial"/>
          <w:color w:val="1F3864"/>
          <w:sz w:val="22"/>
          <w:szCs w:val="22"/>
        </w:rPr>
      </w:pPr>
      <w:r w:rsidRPr="009B5F63">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28274084" w14:textId="5B2AE5D4" w:rsidR="008A66D1" w:rsidRDefault="008A66D1" w:rsidP="008A66D1">
      <w:pPr>
        <w:jc w:val="both"/>
        <w:rPr>
          <w:rFonts w:ascii="Nunito" w:eastAsia="Calibri" w:hAnsi="Nunito" w:cs="Arial"/>
          <w:color w:val="1F3864"/>
          <w:sz w:val="22"/>
          <w:szCs w:val="22"/>
        </w:rPr>
      </w:pPr>
      <w:r w:rsidRPr="009B5F63">
        <w:rPr>
          <w:rFonts w:ascii="Nunito" w:eastAsia="Calibri" w:hAnsi="Nunito" w:cs="Arial"/>
          <w:color w:val="1F3864"/>
          <w:sz w:val="22"/>
          <w:szCs w:val="22"/>
        </w:rPr>
        <w:t>As a workforce, we have a strong family and team culture, helping each other to achieve our goals.</w:t>
      </w:r>
    </w:p>
    <w:p w14:paraId="17BFDE9E" w14:textId="77777777" w:rsidR="008A66D1" w:rsidRPr="009B5F63" w:rsidRDefault="008A66D1" w:rsidP="008A66D1">
      <w:pPr>
        <w:jc w:val="both"/>
        <w:rPr>
          <w:rFonts w:ascii="Nunito" w:eastAsia="Calibri" w:hAnsi="Nunito" w:cs="Arial"/>
          <w:color w:val="1F3864"/>
          <w:sz w:val="22"/>
          <w:szCs w:val="22"/>
        </w:rPr>
      </w:pPr>
    </w:p>
    <w:p w14:paraId="04E2CC37" w14:textId="77777777" w:rsidR="008A66D1" w:rsidRPr="009B5F63" w:rsidRDefault="008A66D1" w:rsidP="009A7B5A">
      <w:pPr>
        <w:shd w:val="clear" w:color="auto" w:fill="1F3864" w:themeFill="accent1" w:themeFillShade="80"/>
        <w:rPr>
          <w:rFonts w:ascii="Nunito" w:eastAsia="Calibri" w:hAnsi="Nunito" w:cs="Arial"/>
          <w:color w:val="FFFFFF"/>
          <w:sz w:val="22"/>
          <w:szCs w:val="22"/>
        </w:rPr>
      </w:pPr>
      <w:r w:rsidRPr="009B5F63">
        <w:rPr>
          <w:rFonts w:ascii="Nunito" w:eastAsia="Calibri" w:hAnsi="Nunito" w:cs="Arial"/>
          <w:color w:val="FFFFFF"/>
          <w:sz w:val="22"/>
          <w:szCs w:val="22"/>
        </w:rPr>
        <w:t>Remuneration</w:t>
      </w:r>
    </w:p>
    <w:p w14:paraId="0BC11FAB" w14:textId="36CC1CC1" w:rsidR="008A66D1" w:rsidRDefault="008A66D1" w:rsidP="008A66D1">
      <w:pPr>
        <w:jc w:val="both"/>
        <w:rPr>
          <w:rFonts w:ascii="Nunito" w:eastAsia="Calibri" w:hAnsi="Nunito" w:cs="Arial"/>
          <w:color w:val="1F3864"/>
          <w:sz w:val="22"/>
          <w:szCs w:val="22"/>
        </w:rPr>
      </w:pPr>
      <w:r w:rsidRPr="009B5F63">
        <w:rPr>
          <w:rFonts w:ascii="Nunito" w:eastAsia="Calibri" w:hAnsi="Nunito" w:cs="Arial"/>
          <w:color w:val="1F3864"/>
          <w:sz w:val="22"/>
          <w:szCs w:val="22"/>
        </w:rPr>
        <w:t xml:space="preserve">We offer a </w:t>
      </w:r>
      <w:r>
        <w:rPr>
          <w:rFonts w:ascii="Nunito" w:eastAsia="Calibri" w:hAnsi="Nunito" w:cs="Arial"/>
          <w:color w:val="1F3864"/>
          <w:sz w:val="22"/>
          <w:szCs w:val="22"/>
        </w:rPr>
        <w:t xml:space="preserve">competitive </w:t>
      </w:r>
      <w:r w:rsidRPr="009B5F63">
        <w:rPr>
          <w:rFonts w:ascii="Nunito" w:eastAsia="Calibri" w:hAnsi="Nunito" w:cs="Arial"/>
          <w:color w:val="1F3864"/>
          <w:sz w:val="22"/>
          <w:szCs w:val="22"/>
        </w:rPr>
        <w:t xml:space="preserve">salary and pension as well as employee benefits package.  We also have </w:t>
      </w:r>
      <w:proofErr w:type="gramStart"/>
      <w:r w:rsidRPr="009B5F63">
        <w:rPr>
          <w:rFonts w:ascii="Nunito" w:eastAsia="Calibri" w:hAnsi="Nunito" w:cs="Arial"/>
          <w:color w:val="1F3864"/>
          <w:sz w:val="22"/>
          <w:szCs w:val="22"/>
        </w:rPr>
        <w:t>a number of</w:t>
      </w:r>
      <w:proofErr w:type="gramEnd"/>
      <w:r w:rsidRPr="009B5F63">
        <w:rPr>
          <w:rFonts w:ascii="Nunito" w:eastAsia="Calibri" w:hAnsi="Nunito" w:cs="Arial"/>
          <w:color w:val="1F3864"/>
          <w:sz w:val="22"/>
          <w:szCs w:val="22"/>
        </w:rPr>
        <w:t xml:space="preserve"> supportive policies to assist absence, family, and other leave types.</w:t>
      </w:r>
    </w:p>
    <w:p w14:paraId="4F77EB48" w14:textId="77777777" w:rsidR="008A66D1" w:rsidRPr="009B5F63" w:rsidRDefault="008A66D1" w:rsidP="008A66D1">
      <w:pPr>
        <w:jc w:val="both"/>
        <w:rPr>
          <w:rFonts w:ascii="Nunito" w:eastAsia="Calibri" w:hAnsi="Nunito" w:cs="Arial"/>
          <w:color w:val="1F3864"/>
          <w:sz w:val="22"/>
          <w:szCs w:val="22"/>
        </w:rPr>
      </w:pPr>
    </w:p>
    <w:p w14:paraId="0AE893C1" w14:textId="2CC1E1D7" w:rsidR="008A66D1" w:rsidRPr="009B5F63" w:rsidRDefault="008A66D1" w:rsidP="009A7B5A">
      <w:pPr>
        <w:shd w:val="clear" w:color="auto" w:fill="1F3864" w:themeFill="accent1" w:themeFillShade="80"/>
        <w:rPr>
          <w:rFonts w:ascii="Nunito" w:eastAsia="Calibri" w:hAnsi="Nunito" w:cs="Arial"/>
          <w:color w:val="FFFFFF"/>
          <w:sz w:val="22"/>
          <w:szCs w:val="22"/>
        </w:rPr>
      </w:pPr>
      <w:r w:rsidRPr="009B5F63">
        <w:rPr>
          <w:rFonts w:ascii="Nunito" w:eastAsia="Calibri" w:hAnsi="Nunito" w:cs="Arial"/>
          <w:color w:val="FFFFFF"/>
          <w:sz w:val="22"/>
          <w:szCs w:val="22"/>
        </w:rPr>
        <w:t xml:space="preserve">Career </w:t>
      </w:r>
      <w:r w:rsidR="009A7B5A">
        <w:rPr>
          <w:rFonts w:ascii="Nunito" w:eastAsia="Calibri" w:hAnsi="Nunito" w:cs="Arial"/>
          <w:color w:val="FFFFFF"/>
          <w:sz w:val="22"/>
          <w:szCs w:val="22"/>
        </w:rPr>
        <w:t>G</w:t>
      </w:r>
      <w:r w:rsidRPr="009B5F63">
        <w:rPr>
          <w:rFonts w:ascii="Nunito" w:eastAsia="Calibri" w:hAnsi="Nunito" w:cs="Arial"/>
          <w:color w:val="FFFFFF"/>
          <w:sz w:val="22"/>
          <w:szCs w:val="22"/>
        </w:rPr>
        <w:t>oals</w:t>
      </w:r>
    </w:p>
    <w:p w14:paraId="1779022C" w14:textId="3B33D92F" w:rsidR="008A66D1" w:rsidRDefault="008A66D1" w:rsidP="008A66D1">
      <w:pPr>
        <w:jc w:val="both"/>
        <w:rPr>
          <w:rFonts w:ascii="Nunito" w:eastAsia="Calibri" w:hAnsi="Nunito" w:cs="Arial"/>
          <w:color w:val="1F3864"/>
          <w:sz w:val="22"/>
          <w:szCs w:val="22"/>
        </w:rPr>
      </w:pPr>
      <w:r w:rsidRPr="009B5F63">
        <w:rPr>
          <w:rFonts w:ascii="Nunito" w:eastAsia="Calibri" w:hAnsi="Nunito" w:cs="Arial"/>
          <w:color w:val="1F3864"/>
          <w:sz w:val="22"/>
          <w:szCs w:val="22"/>
        </w:rPr>
        <w:t>SAMS provides a supportive learning and career growth environment for those looking for that next step in their career</w:t>
      </w:r>
      <w:r>
        <w:rPr>
          <w:rFonts w:ascii="Nunito" w:eastAsia="Calibri" w:hAnsi="Nunito" w:cs="Arial"/>
          <w:color w:val="1F3864"/>
          <w:sz w:val="22"/>
          <w:szCs w:val="22"/>
        </w:rPr>
        <w:t xml:space="preserve"> or upskill in the workplace.  This may be through opportunities to develop techniques, learn more about the science objectives for the group, gain some tutorial opportunities, as well as attend meetings and CPD events.</w:t>
      </w:r>
    </w:p>
    <w:p w14:paraId="4F1FB352" w14:textId="77777777" w:rsidR="008A66D1" w:rsidRPr="009B5F63" w:rsidRDefault="008A66D1" w:rsidP="008A66D1">
      <w:pPr>
        <w:jc w:val="both"/>
        <w:rPr>
          <w:rFonts w:ascii="Nunito" w:eastAsia="Calibri" w:hAnsi="Nunito" w:cs="Arial"/>
          <w:color w:val="1F3864"/>
          <w:sz w:val="22"/>
          <w:szCs w:val="22"/>
        </w:rPr>
      </w:pPr>
    </w:p>
    <w:p w14:paraId="18550829" w14:textId="53B8139E" w:rsidR="008A66D1" w:rsidRPr="009B5F63" w:rsidRDefault="008A66D1" w:rsidP="009A7B5A">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We’ll p</w:t>
      </w:r>
      <w:r w:rsidRPr="009B5F63">
        <w:rPr>
          <w:rFonts w:ascii="Nunito" w:eastAsia="Calibri" w:hAnsi="Nunito" w:cs="Arial"/>
          <w:color w:val="FFFFFF"/>
          <w:sz w:val="22"/>
          <w:szCs w:val="22"/>
        </w:rPr>
        <w:t>rovide you with a good start as you join SAMS</w:t>
      </w:r>
    </w:p>
    <w:p w14:paraId="188ED897" w14:textId="4386325E" w:rsidR="008A66D1" w:rsidRDefault="008A66D1" w:rsidP="008A66D1">
      <w:pPr>
        <w:jc w:val="both"/>
        <w:rPr>
          <w:rFonts w:ascii="Nunito" w:eastAsia="Calibri" w:hAnsi="Nunito" w:cs="Arial"/>
          <w:color w:val="1F3864"/>
          <w:sz w:val="22"/>
          <w:szCs w:val="22"/>
        </w:rPr>
      </w:pPr>
      <w:r w:rsidRPr="009B5F63">
        <w:rPr>
          <w:rFonts w:ascii="Nunito" w:eastAsia="Calibri" w:hAnsi="Nunito" w:cs="Arial"/>
          <w:color w:val="1F3864"/>
          <w:sz w:val="22"/>
          <w:szCs w:val="22"/>
        </w:rPr>
        <w:t>SAMS provides an excellent induction which is a great introduction to the organisation, the facilities, your department and team, and provides that support that you need over the early months joining a new organisation.</w:t>
      </w:r>
      <w:r>
        <w:rPr>
          <w:rFonts w:ascii="Nunito" w:eastAsia="Calibri" w:hAnsi="Nunito" w:cs="Arial"/>
          <w:color w:val="1F3864"/>
          <w:sz w:val="22"/>
          <w:szCs w:val="22"/>
        </w:rPr>
        <w:t xml:space="preserve"> </w:t>
      </w:r>
      <w:r w:rsidRPr="009B5F63">
        <w:rPr>
          <w:rFonts w:ascii="Nunito" w:eastAsia="Calibri" w:hAnsi="Nunito" w:cs="Arial"/>
          <w:color w:val="1F3864"/>
          <w:sz w:val="22"/>
          <w:szCs w:val="22"/>
        </w:rPr>
        <w:t xml:space="preserve">We will also provide you with office space, computing equipment and ensure this is ready for you on your first day of work.  </w:t>
      </w:r>
    </w:p>
    <w:p w14:paraId="4160E139" w14:textId="77777777" w:rsidR="008A66D1" w:rsidRPr="009B5F63" w:rsidRDefault="008A66D1" w:rsidP="008A66D1">
      <w:pPr>
        <w:jc w:val="both"/>
        <w:rPr>
          <w:rFonts w:ascii="Nunito" w:eastAsia="Calibri" w:hAnsi="Nunito" w:cs="Arial"/>
          <w:color w:val="1F3864"/>
          <w:sz w:val="22"/>
          <w:szCs w:val="22"/>
        </w:rPr>
      </w:pPr>
    </w:p>
    <w:p w14:paraId="3B17CE34" w14:textId="77777777" w:rsidR="008A66D1" w:rsidRPr="00610A8F" w:rsidRDefault="008A66D1" w:rsidP="009A7B5A">
      <w:pPr>
        <w:shd w:val="clear" w:color="auto" w:fill="1F3864" w:themeFill="accent1" w:themeFillShade="80"/>
        <w:rPr>
          <w:rFonts w:ascii="Nunito" w:eastAsia="Calibri" w:hAnsi="Nunito" w:cs="Arial"/>
          <w:color w:val="FFFFFF"/>
          <w:sz w:val="22"/>
          <w:szCs w:val="22"/>
        </w:rPr>
      </w:pPr>
      <w:r w:rsidRPr="00610A8F">
        <w:rPr>
          <w:rFonts w:ascii="Nunito" w:eastAsia="Calibri" w:hAnsi="Nunito" w:cs="Arial"/>
          <w:color w:val="FFFFFF"/>
          <w:sz w:val="22"/>
          <w:szCs w:val="22"/>
        </w:rPr>
        <w:t>Employee Benefits</w:t>
      </w:r>
    </w:p>
    <w:p w14:paraId="1B4E8752" w14:textId="77777777" w:rsidR="008A66D1" w:rsidRDefault="008A66D1" w:rsidP="008A66D1">
      <w:pPr>
        <w:jc w:val="both"/>
        <w:rPr>
          <w:rFonts w:ascii="Nunito" w:eastAsia="Calibri" w:hAnsi="Nunito" w:cs="Arial"/>
          <w:color w:val="1F3864"/>
          <w:sz w:val="22"/>
          <w:szCs w:val="22"/>
        </w:rPr>
      </w:pPr>
      <w:r w:rsidRPr="009B5F63">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2EAA13E1" w14:textId="77777777" w:rsidR="008A66D1" w:rsidRPr="009B5F63" w:rsidRDefault="008A66D1" w:rsidP="008A66D1">
      <w:pPr>
        <w:jc w:val="both"/>
        <w:rPr>
          <w:rFonts w:ascii="Nunito" w:eastAsia="Calibri" w:hAnsi="Nunito" w:cs="Arial"/>
          <w:color w:val="1F3864"/>
          <w:sz w:val="22"/>
          <w:szCs w:val="22"/>
        </w:rPr>
      </w:pPr>
    </w:p>
    <w:p w14:paraId="4DC97654" w14:textId="57D574E8" w:rsidR="008A66D1" w:rsidRPr="009B5F63" w:rsidRDefault="008A66D1" w:rsidP="008A66D1">
      <w:pPr>
        <w:numPr>
          <w:ilvl w:val="0"/>
          <w:numId w:val="10"/>
        </w:numPr>
        <w:suppressAutoHyphens/>
        <w:autoSpaceDN w:val="0"/>
        <w:spacing w:after="160" w:line="259" w:lineRule="auto"/>
        <w:contextualSpacing/>
        <w:rPr>
          <w:rFonts w:ascii="Nunito" w:eastAsia="Calibri" w:hAnsi="Nunito" w:cs="Arial"/>
          <w:color w:val="1F3864"/>
          <w:sz w:val="22"/>
          <w:szCs w:val="22"/>
        </w:rPr>
      </w:pPr>
      <w:r w:rsidRPr="009B5F63">
        <w:rPr>
          <w:rFonts w:ascii="Nunito" w:eastAsia="Calibri" w:hAnsi="Nunito" w:cs="Arial"/>
          <w:color w:val="1F3864"/>
          <w:sz w:val="22"/>
          <w:szCs w:val="22"/>
        </w:rPr>
        <w:t xml:space="preserve">Flexible &amp; Hybrid working arrangements </w:t>
      </w:r>
    </w:p>
    <w:p w14:paraId="44CD5B51" w14:textId="77777777" w:rsidR="008A66D1" w:rsidRPr="00610A8F" w:rsidRDefault="008A66D1" w:rsidP="008A66D1">
      <w:pPr>
        <w:numPr>
          <w:ilvl w:val="0"/>
          <w:numId w:val="10"/>
        </w:numPr>
        <w:suppressAutoHyphens/>
        <w:autoSpaceDN w:val="0"/>
        <w:spacing w:after="160" w:line="259" w:lineRule="auto"/>
        <w:contextualSpacing/>
        <w:rPr>
          <w:rFonts w:ascii="Nunito" w:eastAsia="Calibri" w:hAnsi="Nunito" w:cs="Arial"/>
          <w:color w:val="FF0000"/>
          <w:sz w:val="22"/>
          <w:szCs w:val="22"/>
        </w:rPr>
      </w:pPr>
      <w:r w:rsidRPr="00610A8F">
        <w:rPr>
          <w:rFonts w:ascii="Nunito" w:eastAsia="Calibri" w:hAnsi="Nunito" w:cs="Arial"/>
          <w:color w:val="FF0000"/>
          <w:sz w:val="22"/>
          <w:szCs w:val="22"/>
        </w:rPr>
        <w:t>Purchase of additional annual leave – up to 20 days per annum</w:t>
      </w:r>
    </w:p>
    <w:p w14:paraId="1535145C" w14:textId="77777777" w:rsidR="008A66D1" w:rsidRPr="00610A8F" w:rsidRDefault="008A66D1" w:rsidP="008A66D1">
      <w:pPr>
        <w:numPr>
          <w:ilvl w:val="0"/>
          <w:numId w:val="10"/>
        </w:numPr>
        <w:suppressAutoHyphens/>
        <w:autoSpaceDN w:val="0"/>
        <w:spacing w:after="160" w:line="259" w:lineRule="auto"/>
        <w:contextualSpacing/>
        <w:rPr>
          <w:rFonts w:ascii="Nunito" w:eastAsia="Calibri" w:hAnsi="Nunito" w:cs="Arial"/>
          <w:color w:val="00B0F0"/>
          <w:sz w:val="22"/>
          <w:szCs w:val="22"/>
        </w:rPr>
      </w:pPr>
      <w:r w:rsidRPr="00610A8F">
        <w:rPr>
          <w:rFonts w:ascii="Nunito" w:eastAsia="Calibri" w:hAnsi="Nunito" w:cs="Arial"/>
          <w:color w:val="00B0F0"/>
          <w:sz w:val="22"/>
          <w:szCs w:val="22"/>
        </w:rPr>
        <w:t>Access to shopping discounts as well as local shop and leisure discounted memberships</w:t>
      </w:r>
    </w:p>
    <w:p w14:paraId="305AD069" w14:textId="77777777" w:rsidR="008A66D1" w:rsidRPr="00610A8F" w:rsidRDefault="008A66D1" w:rsidP="008A66D1">
      <w:pPr>
        <w:numPr>
          <w:ilvl w:val="0"/>
          <w:numId w:val="10"/>
        </w:numPr>
        <w:suppressAutoHyphens/>
        <w:autoSpaceDN w:val="0"/>
        <w:spacing w:after="160" w:line="259" w:lineRule="auto"/>
        <w:contextualSpacing/>
        <w:rPr>
          <w:rFonts w:ascii="Nunito" w:eastAsia="Calibri" w:hAnsi="Nunito" w:cs="Arial"/>
          <w:color w:val="FFC000"/>
          <w:sz w:val="22"/>
          <w:szCs w:val="22"/>
        </w:rPr>
      </w:pPr>
      <w:r w:rsidRPr="00610A8F">
        <w:rPr>
          <w:rFonts w:ascii="Nunito" w:eastAsia="Calibri" w:hAnsi="Nunito" w:cs="Arial"/>
          <w:color w:val="FFC000"/>
          <w:sz w:val="22"/>
          <w:szCs w:val="22"/>
        </w:rPr>
        <w:t>Cycle to work scheme</w:t>
      </w:r>
    </w:p>
    <w:p w14:paraId="26FA0E75" w14:textId="77777777" w:rsidR="008A66D1" w:rsidRPr="009B5F63" w:rsidRDefault="008A66D1" w:rsidP="008A66D1">
      <w:pPr>
        <w:numPr>
          <w:ilvl w:val="0"/>
          <w:numId w:val="10"/>
        </w:numPr>
        <w:suppressAutoHyphens/>
        <w:autoSpaceDN w:val="0"/>
        <w:spacing w:after="160" w:line="259" w:lineRule="auto"/>
        <w:contextualSpacing/>
        <w:rPr>
          <w:rFonts w:ascii="Nunito" w:eastAsia="Calibri" w:hAnsi="Nunito" w:cs="Arial"/>
          <w:color w:val="538135"/>
          <w:sz w:val="22"/>
          <w:szCs w:val="22"/>
        </w:rPr>
      </w:pPr>
      <w:r w:rsidRPr="009B5F63">
        <w:rPr>
          <w:rFonts w:ascii="Nunito" w:eastAsia="Calibri" w:hAnsi="Nunito" w:cs="Arial"/>
          <w:color w:val="538135"/>
          <w:sz w:val="22"/>
          <w:szCs w:val="22"/>
        </w:rPr>
        <w:t xml:space="preserve">Purchase of technology </w:t>
      </w:r>
    </w:p>
    <w:p w14:paraId="62096ED3" w14:textId="77777777" w:rsidR="008A66D1" w:rsidRPr="009B5F63" w:rsidRDefault="008A66D1" w:rsidP="008A66D1">
      <w:pPr>
        <w:numPr>
          <w:ilvl w:val="0"/>
          <w:numId w:val="10"/>
        </w:numPr>
        <w:suppressAutoHyphens/>
        <w:autoSpaceDN w:val="0"/>
        <w:spacing w:after="160" w:line="259" w:lineRule="auto"/>
        <w:contextualSpacing/>
        <w:rPr>
          <w:rFonts w:ascii="Nunito" w:eastAsia="Calibri" w:hAnsi="Nunito" w:cs="Arial"/>
          <w:color w:val="767171"/>
          <w:sz w:val="22"/>
          <w:szCs w:val="22"/>
        </w:rPr>
      </w:pPr>
      <w:r w:rsidRPr="009B5F63">
        <w:rPr>
          <w:rFonts w:ascii="Nunito" w:eastAsia="Calibri" w:hAnsi="Nunito" w:cs="Arial"/>
          <w:color w:val="767171"/>
          <w:sz w:val="22"/>
          <w:szCs w:val="22"/>
        </w:rPr>
        <w:t xml:space="preserve">Payroll Giving </w:t>
      </w:r>
    </w:p>
    <w:p w14:paraId="1EED8A11" w14:textId="77777777" w:rsidR="008A66D1" w:rsidRPr="009B5F63" w:rsidRDefault="008A66D1" w:rsidP="008A66D1">
      <w:pPr>
        <w:numPr>
          <w:ilvl w:val="0"/>
          <w:numId w:val="10"/>
        </w:numPr>
        <w:suppressAutoHyphens/>
        <w:autoSpaceDN w:val="0"/>
        <w:spacing w:after="160" w:line="259" w:lineRule="auto"/>
        <w:contextualSpacing/>
        <w:rPr>
          <w:rFonts w:ascii="Nunito" w:eastAsia="Calibri" w:hAnsi="Nunito" w:cs="Arial"/>
          <w:color w:val="171717"/>
          <w:sz w:val="22"/>
          <w:szCs w:val="22"/>
        </w:rPr>
      </w:pPr>
      <w:r w:rsidRPr="009B5F63">
        <w:rPr>
          <w:rFonts w:ascii="Nunito" w:eastAsia="Calibri" w:hAnsi="Nunito" w:cs="Arial"/>
          <w:color w:val="171717"/>
          <w:sz w:val="22"/>
          <w:szCs w:val="22"/>
        </w:rPr>
        <w:t>Salary Sacrifice – pensions</w:t>
      </w:r>
    </w:p>
    <w:p w14:paraId="19D679DB" w14:textId="77777777" w:rsidR="008A66D1" w:rsidRPr="00610A8F" w:rsidRDefault="008A66D1" w:rsidP="008A66D1">
      <w:pPr>
        <w:numPr>
          <w:ilvl w:val="0"/>
          <w:numId w:val="10"/>
        </w:numPr>
        <w:suppressAutoHyphens/>
        <w:autoSpaceDN w:val="0"/>
        <w:spacing w:after="160" w:line="259" w:lineRule="auto"/>
        <w:contextualSpacing/>
        <w:rPr>
          <w:rFonts w:ascii="Nunito" w:eastAsia="Calibri" w:hAnsi="Nunito" w:cs="Arial"/>
          <w:color w:val="C00000"/>
          <w:sz w:val="22"/>
          <w:szCs w:val="22"/>
        </w:rPr>
      </w:pPr>
      <w:r w:rsidRPr="00610A8F">
        <w:rPr>
          <w:rFonts w:ascii="Nunito" w:eastAsia="Calibri" w:hAnsi="Nunito" w:cs="Arial"/>
          <w:color w:val="C00000"/>
          <w:sz w:val="22"/>
          <w:szCs w:val="22"/>
        </w:rPr>
        <w:lastRenderedPageBreak/>
        <w:t>Access to wellbeing portals which provide support for mental health, nutrition and fitness and GP referral scheme</w:t>
      </w:r>
    </w:p>
    <w:p w14:paraId="540D8B91" w14:textId="77777777" w:rsidR="008A66D1" w:rsidRPr="00610A8F" w:rsidRDefault="008A66D1" w:rsidP="008A66D1">
      <w:pPr>
        <w:numPr>
          <w:ilvl w:val="0"/>
          <w:numId w:val="10"/>
        </w:numPr>
        <w:suppressAutoHyphens/>
        <w:autoSpaceDN w:val="0"/>
        <w:spacing w:after="160" w:line="259" w:lineRule="auto"/>
        <w:contextualSpacing/>
        <w:rPr>
          <w:rFonts w:ascii="Nunito" w:eastAsia="Calibri" w:hAnsi="Nunito" w:cs="Arial"/>
          <w:color w:val="92D050"/>
          <w:sz w:val="22"/>
          <w:szCs w:val="22"/>
        </w:rPr>
      </w:pPr>
      <w:r w:rsidRPr="00610A8F">
        <w:rPr>
          <w:rFonts w:ascii="Nunito" w:eastAsia="Calibri" w:hAnsi="Nunito" w:cs="Arial"/>
          <w:color w:val="92D050"/>
          <w:sz w:val="22"/>
          <w:szCs w:val="22"/>
        </w:rPr>
        <w:t>Occupational health support</w:t>
      </w:r>
    </w:p>
    <w:p w14:paraId="26B01EAE" w14:textId="77777777" w:rsidR="008A66D1" w:rsidRPr="009B5F63" w:rsidRDefault="008A66D1" w:rsidP="008A66D1">
      <w:pPr>
        <w:numPr>
          <w:ilvl w:val="0"/>
          <w:numId w:val="10"/>
        </w:numPr>
        <w:suppressAutoHyphens/>
        <w:autoSpaceDN w:val="0"/>
        <w:spacing w:after="160" w:line="259" w:lineRule="auto"/>
        <w:contextualSpacing/>
        <w:rPr>
          <w:rFonts w:ascii="Nunito" w:eastAsia="Calibri" w:hAnsi="Nunito" w:cs="Arial"/>
          <w:color w:val="1F3864"/>
          <w:sz w:val="22"/>
          <w:szCs w:val="22"/>
        </w:rPr>
      </w:pPr>
      <w:r w:rsidRPr="009B5F63">
        <w:rPr>
          <w:rFonts w:ascii="Nunito" w:eastAsia="Calibri" w:hAnsi="Nunito" w:cs="Arial"/>
          <w:color w:val="1F3864"/>
          <w:sz w:val="22"/>
          <w:szCs w:val="22"/>
        </w:rPr>
        <w:t>Welfare support on site</w:t>
      </w:r>
    </w:p>
    <w:p w14:paraId="4D95CD5B" w14:textId="77777777" w:rsidR="008A66D1" w:rsidRPr="00610A8F" w:rsidRDefault="008A66D1" w:rsidP="008A66D1">
      <w:pPr>
        <w:numPr>
          <w:ilvl w:val="0"/>
          <w:numId w:val="10"/>
        </w:numPr>
        <w:suppressAutoHyphens/>
        <w:autoSpaceDN w:val="0"/>
        <w:spacing w:after="160" w:line="259" w:lineRule="auto"/>
        <w:contextualSpacing/>
        <w:rPr>
          <w:rFonts w:ascii="Nunito" w:eastAsia="Calibri" w:hAnsi="Nunito" w:cs="Arial"/>
          <w:color w:val="7030A0"/>
          <w:sz w:val="22"/>
          <w:szCs w:val="22"/>
        </w:rPr>
      </w:pPr>
      <w:r w:rsidRPr="00610A8F">
        <w:rPr>
          <w:rFonts w:ascii="Nunito" w:eastAsia="Calibri" w:hAnsi="Nunito" w:cs="Arial"/>
          <w:color w:val="7030A0"/>
          <w:sz w:val="22"/>
          <w:szCs w:val="22"/>
        </w:rPr>
        <w:t>Access to free CBT sessions</w:t>
      </w:r>
    </w:p>
    <w:p w14:paraId="06F3F53A" w14:textId="77777777" w:rsidR="008A66D1" w:rsidRPr="009B5F63" w:rsidRDefault="008A66D1" w:rsidP="008A66D1">
      <w:pPr>
        <w:numPr>
          <w:ilvl w:val="0"/>
          <w:numId w:val="10"/>
        </w:numPr>
        <w:suppressAutoHyphens/>
        <w:autoSpaceDN w:val="0"/>
        <w:spacing w:after="160" w:line="259" w:lineRule="auto"/>
        <w:contextualSpacing/>
        <w:rPr>
          <w:rFonts w:ascii="Nunito" w:eastAsia="Calibri" w:hAnsi="Nunito" w:cs="Arial"/>
          <w:color w:val="538135"/>
          <w:sz w:val="22"/>
          <w:szCs w:val="22"/>
        </w:rPr>
      </w:pPr>
      <w:r w:rsidRPr="009B5F63">
        <w:rPr>
          <w:rFonts w:ascii="Nunito" w:eastAsia="Calibri" w:hAnsi="Nunito" w:cs="Arial"/>
          <w:color w:val="538135"/>
          <w:sz w:val="22"/>
          <w:szCs w:val="22"/>
        </w:rPr>
        <w:t>Sabbatical scheme</w:t>
      </w:r>
    </w:p>
    <w:p w14:paraId="58136B64" w14:textId="77777777" w:rsidR="008A66D1" w:rsidRPr="009B5F63" w:rsidRDefault="008A66D1" w:rsidP="008A66D1">
      <w:pPr>
        <w:numPr>
          <w:ilvl w:val="0"/>
          <w:numId w:val="10"/>
        </w:numPr>
        <w:suppressAutoHyphens/>
        <w:autoSpaceDN w:val="0"/>
        <w:spacing w:after="160" w:line="259" w:lineRule="auto"/>
        <w:contextualSpacing/>
        <w:rPr>
          <w:rFonts w:ascii="Nunito" w:eastAsia="Calibri" w:hAnsi="Nunito" w:cs="Arial"/>
          <w:color w:val="4472C4"/>
          <w:sz w:val="22"/>
          <w:szCs w:val="22"/>
        </w:rPr>
      </w:pPr>
      <w:r w:rsidRPr="009B5F63">
        <w:rPr>
          <w:rFonts w:ascii="Nunito" w:eastAsia="Calibri" w:hAnsi="Nunito" w:cs="Arial"/>
          <w:color w:val="4472C4"/>
          <w:sz w:val="22"/>
          <w:szCs w:val="22"/>
        </w:rPr>
        <w:t>A number of training and development courses to assist you with your career development – leadership, coaching and mentoring.</w:t>
      </w:r>
    </w:p>
    <w:p w14:paraId="7C0BB371" w14:textId="77777777" w:rsidR="008A66D1" w:rsidRPr="009B5F63" w:rsidRDefault="008A66D1" w:rsidP="008A66D1">
      <w:pPr>
        <w:ind w:left="720"/>
        <w:rPr>
          <w:rFonts w:ascii="Nunito" w:eastAsia="Calibri" w:hAnsi="Nunito" w:cs="Arial"/>
          <w:color w:val="1F3864"/>
          <w:sz w:val="22"/>
          <w:szCs w:val="22"/>
        </w:rPr>
      </w:pPr>
    </w:p>
    <w:p w14:paraId="67EFE744" w14:textId="77777777" w:rsidR="008A66D1" w:rsidRDefault="008A66D1" w:rsidP="008A66D1">
      <w:pPr>
        <w:jc w:val="both"/>
        <w:rPr>
          <w:rFonts w:ascii="Nunito" w:eastAsia="Calibri" w:hAnsi="Nunito" w:cs="Arial"/>
          <w:bCs/>
          <w:color w:val="1F3864"/>
          <w:sz w:val="22"/>
          <w:szCs w:val="22"/>
        </w:rPr>
      </w:pPr>
      <w:r w:rsidRPr="009B5F63">
        <w:rPr>
          <w:rFonts w:ascii="Nunito" w:eastAsia="Calibri" w:hAnsi="Nunito" w:cs="Arial"/>
          <w:bCs/>
          <w:color w:val="1F3864"/>
          <w:sz w:val="22"/>
          <w:szCs w:val="22"/>
        </w:rPr>
        <w:t xml:space="preserve">SAMS is part of the University of the Highlands &amp; Islands and holds an Athena SWAN Bronze award.  SAMS is currently working towards a silver award. </w:t>
      </w:r>
    </w:p>
    <w:p w14:paraId="79880739" w14:textId="77777777" w:rsidR="008A66D1" w:rsidRPr="009B5F63" w:rsidRDefault="008A66D1" w:rsidP="008A66D1">
      <w:pPr>
        <w:jc w:val="both"/>
        <w:rPr>
          <w:rFonts w:ascii="Nunito" w:eastAsia="Calibri" w:hAnsi="Nunito" w:cs="Arial"/>
          <w:bCs/>
          <w:color w:val="1F3864"/>
          <w:sz w:val="22"/>
          <w:szCs w:val="22"/>
        </w:rPr>
      </w:pPr>
    </w:p>
    <w:p w14:paraId="728A08A5" w14:textId="77777777" w:rsidR="008A66D1" w:rsidRPr="009B5F63" w:rsidRDefault="008A66D1" w:rsidP="008A66D1">
      <w:pPr>
        <w:jc w:val="both"/>
        <w:rPr>
          <w:rFonts w:ascii="Nunito" w:eastAsia="Calibri" w:hAnsi="Nunito" w:cs="Arial"/>
          <w:bCs/>
          <w:color w:val="1F3864"/>
          <w:sz w:val="22"/>
          <w:szCs w:val="22"/>
        </w:rPr>
      </w:pPr>
      <w:r w:rsidRPr="009B5F63">
        <w:rPr>
          <w:rFonts w:ascii="Nunito" w:eastAsia="Calibri" w:hAnsi="Nunito" w:cs="Arial"/>
          <w:bCs/>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347A945C" w14:textId="77777777" w:rsidR="008A66D1" w:rsidRPr="009B5F63" w:rsidRDefault="008A66D1" w:rsidP="008A66D1">
      <w:pPr>
        <w:jc w:val="both"/>
        <w:rPr>
          <w:rFonts w:ascii="Nunito" w:eastAsia="Calibri" w:hAnsi="Nunito" w:cs="Arial"/>
          <w:bCs/>
          <w:color w:val="1F3864"/>
          <w:sz w:val="22"/>
          <w:szCs w:val="22"/>
        </w:rPr>
      </w:pPr>
    </w:p>
    <w:p w14:paraId="5D9A4EFC" w14:textId="676A2991" w:rsidR="008A66D1" w:rsidRPr="009A7B5A" w:rsidRDefault="008A66D1" w:rsidP="009A7B5A">
      <w:pPr>
        <w:shd w:val="clear" w:color="auto" w:fill="99CCFF"/>
        <w:jc w:val="center"/>
        <w:rPr>
          <w:rFonts w:ascii="Nunito" w:eastAsia="Calibri" w:hAnsi="Nunito" w:cs="Arial"/>
          <w:bCs/>
          <w:color w:val="1F3864" w:themeColor="accent1" w:themeShade="80"/>
          <w:sz w:val="22"/>
          <w:szCs w:val="22"/>
        </w:rPr>
      </w:pPr>
      <w:r w:rsidRPr="009A7B5A">
        <w:rPr>
          <w:rFonts w:ascii="Nunito" w:eastAsia="Calibri" w:hAnsi="Nunito" w:cs="Arial"/>
          <w:bCs/>
          <w:color w:val="1F3864" w:themeColor="accent1" w:themeShade="80"/>
          <w:sz w:val="22"/>
          <w:szCs w:val="22"/>
        </w:rPr>
        <w:t xml:space="preserve">Applications must include CV and Cover Letter and should be sent electronically to </w:t>
      </w:r>
      <w:hyperlink r:id="rId7" w:history="1">
        <w:r w:rsidRPr="009A7B5A">
          <w:rPr>
            <w:rStyle w:val="Hyperlink"/>
            <w:rFonts w:ascii="Nunito" w:eastAsia="Calibri" w:hAnsi="Nunito" w:cs="Arial"/>
            <w:bCs/>
            <w:color w:val="1F3864" w:themeColor="accent1" w:themeShade="80"/>
            <w:sz w:val="22"/>
            <w:szCs w:val="22"/>
          </w:rPr>
          <w:t>recruitment@sams.ac.uk</w:t>
        </w:r>
      </w:hyperlink>
      <w:r w:rsidRPr="009A7B5A">
        <w:rPr>
          <w:rFonts w:ascii="Nunito" w:eastAsia="Calibri" w:hAnsi="Nunito" w:cs="Arial"/>
          <w:bCs/>
          <w:color w:val="1F3864" w:themeColor="accent1" w:themeShade="80"/>
          <w:sz w:val="22"/>
          <w:szCs w:val="22"/>
        </w:rPr>
        <w:t xml:space="preserve"> quoting Job Ref. ‘D17/22.EC’ in the subject line.</w:t>
      </w:r>
    </w:p>
    <w:p w14:paraId="03D4F0EB" w14:textId="77777777" w:rsidR="008A66D1" w:rsidRPr="008A66D1" w:rsidRDefault="008A66D1" w:rsidP="009A7B5A">
      <w:pPr>
        <w:shd w:val="clear" w:color="auto" w:fill="99CCFF"/>
        <w:jc w:val="center"/>
        <w:rPr>
          <w:rFonts w:ascii="Nunito" w:eastAsia="Calibri" w:hAnsi="Nunito" w:cs="Arial"/>
          <w:bCs/>
          <w:color w:val="F2F2F2" w:themeColor="background1" w:themeShade="F2"/>
          <w:sz w:val="22"/>
          <w:szCs w:val="22"/>
        </w:rPr>
      </w:pPr>
    </w:p>
    <w:p w14:paraId="1B2B12E8" w14:textId="757670A4" w:rsidR="008A66D1" w:rsidRPr="009D4C20" w:rsidRDefault="008A66D1" w:rsidP="009A7B5A">
      <w:pPr>
        <w:shd w:val="clear" w:color="auto" w:fill="99CCFF"/>
        <w:jc w:val="center"/>
        <w:rPr>
          <w:rFonts w:ascii="Nunito" w:eastAsia="Calibri" w:hAnsi="Nunito" w:cs="Arial"/>
          <w:b/>
          <w:color w:val="1F3864" w:themeColor="accent1" w:themeShade="80"/>
          <w:sz w:val="22"/>
          <w:szCs w:val="22"/>
        </w:rPr>
      </w:pPr>
      <w:r w:rsidRPr="009A7B5A">
        <w:rPr>
          <w:rFonts w:ascii="Nunito" w:eastAsia="Calibri" w:hAnsi="Nunito" w:cs="Arial"/>
          <w:bCs/>
          <w:color w:val="1F3864" w:themeColor="accent1" w:themeShade="80"/>
          <w:sz w:val="22"/>
          <w:szCs w:val="22"/>
        </w:rPr>
        <w:t xml:space="preserve">The closing date for applications </w:t>
      </w:r>
      <w:r w:rsidR="00601601">
        <w:rPr>
          <w:rFonts w:ascii="Nunito" w:eastAsia="Calibri" w:hAnsi="Nunito" w:cs="Arial"/>
          <w:b/>
          <w:color w:val="1F3864" w:themeColor="accent1" w:themeShade="80"/>
          <w:sz w:val="22"/>
          <w:szCs w:val="22"/>
        </w:rPr>
        <w:t>2</w:t>
      </w:r>
      <w:r w:rsidR="00601601" w:rsidRPr="00601601">
        <w:rPr>
          <w:rFonts w:ascii="Nunito" w:eastAsia="Calibri" w:hAnsi="Nunito" w:cs="Arial"/>
          <w:b/>
          <w:color w:val="1F3864" w:themeColor="accent1" w:themeShade="80"/>
          <w:sz w:val="22"/>
          <w:szCs w:val="22"/>
          <w:vertAlign w:val="superscript"/>
        </w:rPr>
        <w:t>nd</w:t>
      </w:r>
      <w:r w:rsidR="00601601">
        <w:rPr>
          <w:rFonts w:ascii="Nunito" w:eastAsia="Calibri" w:hAnsi="Nunito" w:cs="Arial"/>
          <w:b/>
          <w:color w:val="1F3864" w:themeColor="accent1" w:themeShade="80"/>
          <w:sz w:val="22"/>
          <w:szCs w:val="22"/>
        </w:rPr>
        <w:t xml:space="preserve"> February</w:t>
      </w:r>
      <w:r w:rsidRPr="009D4C20">
        <w:rPr>
          <w:rFonts w:ascii="Nunito" w:eastAsia="Calibri" w:hAnsi="Nunito" w:cs="Arial"/>
          <w:b/>
          <w:color w:val="1F3864" w:themeColor="accent1" w:themeShade="80"/>
          <w:sz w:val="22"/>
          <w:szCs w:val="22"/>
        </w:rPr>
        <w:t xml:space="preserve"> 2023</w:t>
      </w:r>
    </w:p>
    <w:p w14:paraId="5E811636" w14:textId="0C34B1D8" w:rsidR="008A66D1" w:rsidRPr="009A7B5A" w:rsidRDefault="008A66D1" w:rsidP="009A7B5A">
      <w:pPr>
        <w:shd w:val="clear" w:color="auto" w:fill="99CCFF"/>
        <w:jc w:val="center"/>
        <w:rPr>
          <w:rFonts w:ascii="Nunito" w:eastAsia="Calibri" w:hAnsi="Nunito" w:cs="Arial"/>
          <w:b/>
          <w:color w:val="1F3864" w:themeColor="accent1" w:themeShade="80"/>
          <w:sz w:val="22"/>
          <w:szCs w:val="22"/>
          <w:shd w:val="clear" w:color="auto" w:fill="D9D9D9"/>
        </w:rPr>
      </w:pPr>
      <w:r w:rsidRPr="009D4C20">
        <w:rPr>
          <w:rFonts w:ascii="Nunito" w:eastAsia="Calibri" w:hAnsi="Nunito" w:cs="Arial"/>
          <w:b/>
          <w:color w:val="1F3864" w:themeColor="accent1" w:themeShade="80"/>
          <w:sz w:val="22"/>
          <w:szCs w:val="22"/>
        </w:rPr>
        <w:t xml:space="preserve">Interviews will be held by the </w:t>
      </w:r>
      <w:r w:rsidR="009D4C20" w:rsidRPr="009D4C20">
        <w:rPr>
          <w:rFonts w:ascii="Nunito" w:eastAsia="Calibri" w:hAnsi="Nunito" w:cs="Arial"/>
          <w:b/>
          <w:color w:val="1F3864" w:themeColor="accent1" w:themeShade="80"/>
          <w:sz w:val="22"/>
          <w:szCs w:val="22"/>
        </w:rPr>
        <w:t>middle</w:t>
      </w:r>
      <w:r w:rsidRPr="009D4C20">
        <w:rPr>
          <w:rFonts w:ascii="Nunito" w:eastAsia="Calibri" w:hAnsi="Nunito" w:cs="Arial"/>
          <w:b/>
          <w:color w:val="1F3864" w:themeColor="accent1" w:themeShade="80"/>
          <w:sz w:val="22"/>
          <w:szCs w:val="22"/>
        </w:rPr>
        <w:t xml:space="preserve"> of February</w:t>
      </w:r>
    </w:p>
    <w:p w14:paraId="193DFDD8" w14:textId="77777777" w:rsidR="008A66D1" w:rsidRPr="009B5F63" w:rsidRDefault="008A66D1" w:rsidP="008A66D1">
      <w:pPr>
        <w:jc w:val="center"/>
        <w:rPr>
          <w:rFonts w:ascii="Nunito" w:eastAsia="Calibri" w:hAnsi="Nunito" w:cs="Arial"/>
          <w:bCs/>
          <w:i/>
          <w:color w:val="1F3864"/>
          <w:sz w:val="22"/>
          <w:szCs w:val="22"/>
        </w:rPr>
      </w:pPr>
    </w:p>
    <w:p w14:paraId="7A401458" w14:textId="77777777" w:rsidR="008A66D1" w:rsidRPr="009B5F63" w:rsidRDefault="008A66D1" w:rsidP="008A66D1">
      <w:pPr>
        <w:jc w:val="center"/>
        <w:rPr>
          <w:rFonts w:ascii="Nunito" w:eastAsia="Calibri" w:hAnsi="Nunito" w:cs="Arial"/>
          <w:bCs/>
          <w:i/>
          <w:color w:val="1F3864"/>
          <w:sz w:val="22"/>
          <w:szCs w:val="22"/>
        </w:rPr>
      </w:pPr>
      <w:r w:rsidRPr="009B5F63">
        <w:rPr>
          <w:rFonts w:ascii="Nunito" w:eastAsia="Calibri" w:hAnsi="Nunito" w:cs="Arial"/>
          <w:bCs/>
          <w:i/>
          <w:color w:val="1F3864"/>
          <w:sz w:val="22"/>
          <w:szCs w:val="22"/>
        </w:rPr>
        <w:t>Please note, we prefer to contact referees prior to interview</w:t>
      </w:r>
    </w:p>
    <w:p w14:paraId="0A2177E5" w14:textId="77777777" w:rsidR="008A66D1" w:rsidRDefault="008A66D1" w:rsidP="008A66D1">
      <w:pPr>
        <w:jc w:val="center"/>
        <w:rPr>
          <w:rFonts w:ascii="Nunito" w:eastAsia="Calibri" w:hAnsi="Nunito" w:cs="Arial"/>
          <w:bCs/>
          <w:i/>
          <w:color w:val="1F3864"/>
          <w:sz w:val="22"/>
          <w:szCs w:val="22"/>
        </w:rPr>
      </w:pPr>
    </w:p>
    <w:p w14:paraId="71A768D1" w14:textId="77777777" w:rsidR="008A66D1" w:rsidRPr="009B5F63" w:rsidRDefault="008A66D1" w:rsidP="009A7B5A">
      <w:pPr>
        <w:shd w:val="clear" w:color="auto" w:fill="1F3864" w:themeFill="accent1" w:themeFillShade="80"/>
        <w:rPr>
          <w:rFonts w:ascii="Nunito" w:hAnsi="Nunito" w:cs="Arial"/>
          <w:color w:val="FFFFFF"/>
          <w:sz w:val="22"/>
          <w:szCs w:val="22"/>
        </w:rPr>
      </w:pPr>
      <w:r w:rsidRPr="009B5F63">
        <w:rPr>
          <w:rFonts w:ascii="Nunito" w:eastAsia="Calibri" w:hAnsi="Nunito" w:cs="Arial"/>
          <w:color w:val="FFFFFF"/>
          <w:sz w:val="22"/>
          <w:szCs w:val="22"/>
        </w:rPr>
        <w:t>Guidance for</w:t>
      </w:r>
      <w:r>
        <w:rPr>
          <w:rFonts w:ascii="Nunito" w:eastAsia="Calibri" w:hAnsi="Nunito" w:cs="Arial"/>
          <w:color w:val="FFFFFF"/>
          <w:sz w:val="22"/>
          <w:szCs w:val="22"/>
        </w:rPr>
        <w:t xml:space="preserve"> </w:t>
      </w:r>
      <w:r w:rsidRPr="009B5F63">
        <w:rPr>
          <w:rFonts w:ascii="Nunito" w:eastAsia="Calibri" w:hAnsi="Nunito" w:cs="Arial"/>
          <w:color w:val="FFFFFF"/>
          <w:sz w:val="22"/>
          <w:szCs w:val="22"/>
        </w:rPr>
        <w:t>Applicants </w:t>
      </w:r>
    </w:p>
    <w:p w14:paraId="3E6D012D" w14:textId="77777777" w:rsidR="008A66D1" w:rsidRDefault="008A66D1" w:rsidP="008A66D1">
      <w:pPr>
        <w:jc w:val="both"/>
        <w:rPr>
          <w:rFonts w:ascii="Nunito" w:hAnsi="Nunito" w:cs="Arial"/>
          <w:bCs/>
          <w:color w:val="1F3864"/>
          <w:sz w:val="22"/>
          <w:szCs w:val="22"/>
        </w:rPr>
      </w:pPr>
    </w:p>
    <w:p w14:paraId="76D300DF" w14:textId="77777777" w:rsidR="008A66D1" w:rsidRPr="00610A8F" w:rsidRDefault="008A66D1" w:rsidP="008A66D1">
      <w:pPr>
        <w:jc w:val="both"/>
        <w:rPr>
          <w:rFonts w:ascii="Nunito" w:hAnsi="Nunito" w:cs="Arial"/>
          <w:bCs/>
          <w:color w:val="1F3864"/>
          <w:sz w:val="22"/>
          <w:szCs w:val="22"/>
        </w:rPr>
      </w:pPr>
      <w:r w:rsidRPr="00610A8F">
        <w:rPr>
          <w:rFonts w:ascii="Nunito" w:hAnsi="Nunito" w:cs="Arial"/>
          <w:bCs/>
          <w:color w:val="1F3864"/>
          <w:sz w:val="22"/>
          <w:szCs w:val="22"/>
        </w:rPr>
        <w:t xml:space="preserve">Candidates must have the rights to work in the UK. </w:t>
      </w:r>
    </w:p>
    <w:p w14:paraId="17D56FF0" w14:textId="77777777" w:rsidR="008A66D1" w:rsidRPr="009B5F63" w:rsidRDefault="008A66D1" w:rsidP="008A66D1">
      <w:pPr>
        <w:jc w:val="both"/>
        <w:rPr>
          <w:rFonts w:ascii="Nunito" w:hAnsi="Nunito"/>
          <w:color w:val="1F3864"/>
          <w:sz w:val="22"/>
          <w:szCs w:val="22"/>
        </w:rPr>
      </w:pPr>
    </w:p>
    <w:p w14:paraId="723406A7" w14:textId="77777777" w:rsidR="008A66D1" w:rsidRPr="009B5F63" w:rsidRDefault="008A66D1" w:rsidP="009A7B5A">
      <w:pPr>
        <w:shd w:val="clear" w:color="auto" w:fill="1F3864" w:themeFill="accent1" w:themeFillShade="80"/>
        <w:rPr>
          <w:rFonts w:ascii="Nunito" w:hAnsi="Nunito" w:cs="Arial"/>
          <w:color w:val="FFFFFF"/>
          <w:sz w:val="22"/>
          <w:szCs w:val="22"/>
        </w:rPr>
      </w:pPr>
      <w:r w:rsidRPr="009B5F63">
        <w:rPr>
          <w:rFonts w:ascii="Nunito" w:eastAsia="Calibri" w:hAnsi="Nunito" w:cs="Arial"/>
          <w:color w:val="FFFFFF"/>
          <w:sz w:val="22"/>
          <w:szCs w:val="22"/>
        </w:rPr>
        <w:t>Your application – what are we looking for?</w:t>
      </w:r>
    </w:p>
    <w:p w14:paraId="50F024E9" w14:textId="6A3ACFB2" w:rsidR="008A66D1" w:rsidRPr="009B5F63" w:rsidRDefault="008A66D1" w:rsidP="008A66D1">
      <w:pPr>
        <w:jc w:val="both"/>
        <w:rPr>
          <w:rFonts w:ascii="Nunito" w:hAnsi="Nunito" w:cs="Arial"/>
          <w:color w:val="1F3864"/>
          <w:sz w:val="22"/>
          <w:szCs w:val="22"/>
        </w:rPr>
      </w:pPr>
      <w:r w:rsidRPr="009B5F63">
        <w:rPr>
          <w:rFonts w:ascii="Nunito" w:hAnsi="Nunito"/>
          <w:color w:val="1F3864"/>
          <w:sz w:val="22"/>
          <w:szCs w:val="22"/>
        </w:rPr>
        <w:t xml:space="preserve">We are looking for a full CV – please remember to document </w:t>
      </w:r>
      <w:r w:rsidRPr="009B5F63">
        <w:rPr>
          <w:rFonts w:ascii="Nunito" w:hAnsi="Nunito" w:cs="Arial"/>
          <w:bCs/>
          <w:color w:val="1F3864"/>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sidRPr="009B5F63">
        <w:rPr>
          <w:rFonts w:ascii="Nunito" w:hAnsi="Nunito" w:cs="Arial"/>
          <w:color w:val="1F3864"/>
          <w:sz w:val="22"/>
          <w:szCs w:val="22"/>
        </w:rPr>
        <w:t>Also, p</w:t>
      </w:r>
      <w:r w:rsidRPr="009B5F63">
        <w:rPr>
          <w:rFonts w:ascii="Nunito" w:hAnsi="Nunito" w:cs="Arial"/>
          <w:bCs/>
          <w:color w:val="1F3864"/>
          <w:sz w:val="22"/>
          <w:szCs w:val="22"/>
        </w:rPr>
        <w:t>lease include details of two referees</w:t>
      </w:r>
      <w:r w:rsidR="00221C12">
        <w:rPr>
          <w:rFonts w:ascii="Nunito" w:hAnsi="Nunito" w:cs="Arial"/>
          <w:bCs/>
          <w:color w:val="1F3864"/>
          <w:sz w:val="22"/>
          <w:szCs w:val="22"/>
        </w:rPr>
        <w:t>, one referee at least from your current role,</w:t>
      </w:r>
      <w:r w:rsidRPr="009B5F63">
        <w:rPr>
          <w:rFonts w:ascii="Nunito" w:hAnsi="Nunito" w:cs="Arial"/>
          <w:bCs/>
          <w:color w:val="1F3864"/>
          <w:sz w:val="22"/>
          <w:szCs w:val="22"/>
        </w:rPr>
        <w:t xml:space="preserve"> who we may contact if invited for interview.    </w:t>
      </w:r>
    </w:p>
    <w:p w14:paraId="27C4DC62" w14:textId="77777777" w:rsidR="008A66D1" w:rsidRPr="009B5F63" w:rsidRDefault="008A66D1" w:rsidP="008A66D1">
      <w:pPr>
        <w:jc w:val="both"/>
        <w:rPr>
          <w:rFonts w:ascii="Nunito" w:hAnsi="Nunito"/>
          <w:color w:val="1F3864"/>
          <w:sz w:val="22"/>
          <w:szCs w:val="22"/>
        </w:rPr>
      </w:pPr>
    </w:p>
    <w:p w14:paraId="464757FE" w14:textId="77777777" w:rsidR="008A66D1" w:rsidRPr="009B5F63" w:rsidRDefault="008A66D1" w:rsidP="008A66D1">
      <w:pPr>
        <w:spacing w:after="160"/>
        <w:jc w:val="both"/>
        <w:rPr>
          <w:rFonts w:ascii="Nunito" w:hAnsi="Nunito" w:cs="Arial"/>
          <w:color w:val="1F3864"/>
          <w:sz w:val="22"/>
          <w:szCs w:val="22"/>
        </w:rPr>
      </w:pPr>
      <w:r w:rsidRPr="009B5F63">
        <w:rPr>
          <w:rFonts w:ascii="Nunito" w:hAnsi="Nunito"/>
          <w:color w:val="1F3864"/>
          <w:sz w:val="22"/>
          <w:szCs w:val="22"/>
        </w:rPr>
        <w:t xml:space="preserve">We enjoy reading cover letters and these are an important part of the application.  </w:t>
      </w:r>
      <w:r w:rsidRPr="009B5F63">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3A07948C" w14:textId="77777777" w:rsidR="008A66D1" w:rsidRPr="009B5F63" w:rsidRDefault="008A66D1" w:rsidP="008A66D1">
      <w:pPr>
        <w:spacing w:before="100" w:beforeAutospacing="1" w:after="100" w:afterAutospacing="1"/>
        <w:ind w:left="720"/>
        <w:jc w:val="both"/>
        <w:rPr>
          <w:rFonts w:ascii="Nunito" w:hAnsi="Nunito" w:cs="Arial"/>
          <w:color w:val="1F3864"/>
          <w:sz w:val="22"/>
          <w:szCs w:val="22"/>
        </w:rPr>
      </w:pPr>
      <w:r w:rsidRPr="009B5F63">
        <w:rPr>
          <w:rFonts w:ascii="Nunito" w:hAnsi="Nunito" w:cs="Arial"/>
          <w:bCs/>
          <w:color w:val="1F3864"/>
          <w:sz w:val="22"/>
          <w:szCs w:val="22"/>
        </w:rPr>
        <w:t> </w:t>
      </w:r>
      <w:r w:rsidRPr="009B5F63">
        <w:rPr>
          <w:rFonts w:ascii="Nunito" w:hAnsi="Nunito" w:cs="Arial"/>
          <w:b/>
          <w:bCs/>
          <w:i/>
          <w:iCs/>
          <w:color w:val="1F3864"/>
          <w:sz w:val="22"/>
          <w:szCs w:val="22"/>
        </w:rPr>
        <w:t>Useful links </w:t>
      </w:r>
    </w:p>
    <w:p w14:paraId="4FDAA091" w14:textId="77777777" w:rsidR="008A66D1" w:rsidRPr="009B5F63" w:rsidRDefault="000E3582" w:rsidP="008A66D1">
      <w:pPr>
        <w:numPr>
          <w:ilvl w:val="0"/>
          <w:numId w:val="9"/>
        </w:numPr>
        <w:spacing w:before="100" w:beforeAutospacing="1" w:after="100" w:afterAutospacing="1" w:line="259" w:lineRule="auto"/>
        <w:jc w:val="both"/>
        <w:rPr>
          <w:rFonts w:ascii="Nunito" w:hAnsi="Nunito" w:cs="Arial"/>
          <w:color w:val="1F3864"/>
          <w:sz w:val="22"/>
          <w:szCs w:val="22"/>
        </w:rPr>
      </w:pPr>
      <w:hyperlink r:id="rId8" w:history="1">
        <w:r w:rsidR="008A66D1" w:rsidRPr="009B5F63">
          <w:rPr>
            <w:rFonts w:ascii="Nunito" w:hAnsi="Nunito" w:cs="Arial"/>
            <w:bCs/>
            <w:color w:val="1F3864"/>
            <w:sz w:val="22"/>
            <w:szCs w:val="22"/>
            <w:u w:val="single"/>
          </w:rPr>
          <w:t>How to write a flawless cover letter</w:t>
        </w:r>
      </w:hyperlink>
      <w:r w:rsidR="008A66D1" w:rsidRPr="009B5F63">
        <w:rPr>
          <w:rFonts w:ascii="Nunito" w:hAnsi="Nunito" w:cs="Arial"/>
          <w:bCs/>
          <w:color w:val="1F3864"/>
          <w:sz w:val="22"/>
          <w:szCs w:val="22"/>
        </w:rPr>
        <w:t> </w:t>
      </w:r>
      <w:r w:rsidR="008A66D1" w:rsidRPr="009B5F63">
        <w:rPr>
          <w:rFonts w:ascii="Nunito" w:eastAsia="Calibri" w:hAnsi="Nunito" w:cs="Arial"/>
          <w:bCs/>
          <w:color w:val="1F3864"/>
          <w:sz w:val="22"/>
          <w:szCs w:val="22"/>
        </w:rPr>
        <w:t>(please right click and select open in new tab)</w:t>
      </w:r>
    </w:p>
    <w:p w14:paraId="0E179455" w14:textId="723BBBFB" w:rsidR="00992589" w:rsidRPr="00915FBB" w:rsidRDefault="000E3582" w:rsidP="00915FBB">
      <w:pPr>
        <w:numPr>
          <w:ilvl w:val="0"/>
          <w:numId w:val="9"/>
        </w:numPr>
        <w:spacing w:before="100" w:beforeAutospacing="1" w:after="100" w:afterAutospacing="1" w:line="259" w:lineRule="auto"/>
        <w:jc w:val="both"/>
        <w:rPr>
          <w:rFonts w:ascii="Nunito" w:hAnsi="Nunito" w:cs="Arial"/>
          <w:color w:val="1F3864"/>
          <w:sz w:val="22"/>
          <w:szCs w:val="22"/>
        </w:rPr>
      </w:pPr>
      <w:hyperlink r:id="rId9" w:history="1">
        <w:r w:rsidR="008A66D1" w:rsidRPr="009B5F63">
          <w:rPr>
            <w:rFonts w:ascii="Nunito" w:hAnsi="Nunito" w:cs="Arial"/>
            <w:bCs/>
            <w:color w:val="1F3864"/>
            <w:sz w:val="22"/>
            <w:szCs w:val="22"/>
            <w:u w:val="single"/>
          </w:rPr>
          <w:t>How to write a CV</w:t>
        </w:r>
      </w:hyperlink>
      <w:r w:rsidR="008A66D1" w:rsidRPr="009B5F63">
        <w:rPr>
          <w:rFonts w:ascii="Nunito" w:hAnsi="Nunito" w:cs="Arial"/>
          <w:bCs/>
          <w:color w:val="1F3864"/>
          <w:sz w:val="22"/>
          <w:szCs w:val="22"/>
        </w:rPr>
        <w:t> (please right click and select open in new tab)</w:t>
      </w:r>
    </w:p>
    <w:sectPr w:rsidR="00992589" w:rsidRPr="00915FBB" w:rsidSect="001778A6">
      <w:headerReference w:type="default" r:id="rId10"/>
      <w:pgSz w:w="12240" w:h="15840"/>
      <w:pgMar w:top="90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FACD" w14:textId="77777777" w:rsidR="00925D8D" w:rsidRDefault="00925D8D">
      <w:r>
        <w:separator/>
      </w:r>
    </w:p>
  </w:endnote>
  <w:endnote w:type="continuationSeparator" w:id="0">
    <w:p w14:paraId="62A4D601" w14:textId="77777777" w:rsidR="00925D8D" w:rsidRDefault="0092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66B0" w14:textId="77777777" w:rsidR="00925D8D" w:rsidRDefault="00925D8D">
      <w:r>
        <w:separator/>
      </w:r>
    </w:p>
  </w:footnote>
  <w:footnote w:type="continuationSeparator" w:id="0">
    <w:p w14:paraId="337FC1CA" w14:textId="77777777" w:rsidR="00925D8D" w:rsidRDefault="0092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174" w14:textId="38EBC172" w:rsidR="004418C5" w:rsidRDefault="000E3582"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9F9"/>
    <w:multiLevelType w:val="hybridMultilevel"/>
    <w:tmpl w:val="BAAA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84573"/>
    <w:multiLevelType w:val="hybridMultilevel"/>
    <w:tmpl w:val="0888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B4E4F"/>
    <w:multiLevelType w:val="hybridMultilevel"/>
    <w:tmpl w:val="057E2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97EE2"/>
    <w:multiLevelType w:val="hybridMultilevel"/>
    <w:tmpl w:val="0A28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84819"/>
    <w:multiLevelType w:val="hybridMultilevel"/>
    <w:tmpl w:val="3C42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B7071"/>
    <w:multiLevelType w:val="hybridMultilevel"/>
    <w:tmpl w:val="0530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B60B7"/>
    <w:multiLevelType w:val="hybridMultilevel"/>
    <w:tmpl w:val="5336C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61195"/>
    <w:multiLevelType w:val="hybridMultilevel"/>
    <w:tmpl w:val="847E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05899409">
    <w:abstractNumId w:val="2"/>
  </w:num>
  <w:num w:numId="2" w16cid:durableId="1184444401">
    <w:abstractNumId w:val="8"/>
  </w:num>
  <w:num w:numId="3" w16cid:durableId="1536386039">
    <w:abstractNumId w:val="4"/>
  </w:num>
  <w:num w:numId="4" w16cid:durableId="925571952">
    <w:abstractNumId w:val="1"/>
  </w:num>
  <w:num w:numId="5" w16cid:durableId="1183668155">
    <w:abstractNumId w:val="7"/>
  </w:num>
  <w:num w:numId="6" w16cid:durableId="1614094119">
    <w:abstractNumId w:val="5"/>
  </w:num>
  <w:num w:numId="7" w16cid:durableId="1260717988">
    <w:abstractNumId w:val="6"/>
  </w:num>
  <w:num w:numId="8" w16cid:durableId="1638995049">
    <w:abstractNumId w:val="0"/>
  </w:num>
  <w:num w:numId="9" w16cid:durableId="1119685016">
    <w:abstractNumId w:val="3"/>
  </w:num>
  <w:num w:numId="10" w16cid:durableId="711803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61"/>
    <w:rsid w:val="000E3582"/>
    <w:rsid w:val="00221C12"/>
    <w:rsid w:val="0052394A"/>
    <w:rsid w:val="00601601"/>
    <w:rsid w:val="008A66D1"/>
    <w:rsid w:val="00915FBB"/>
    <w:rsid w:val="00925D8D"/>
    <w:rsid w:val="00992589"/>
    <w:rsid w:val="009A7B5A"/>
    <w:rsid w:val="009D4C20"/>
    <w:rsid w:val="00AD2792"/>
    <w:rsid w:val="00BE7B07"/>
    <w:rsid w:val="00C051D0"/>
    <w:rsid w:val="00D14E61"/>
    <w:rsid w:val="00DA37FF"/>
    <w:rsid w:val="00F7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8344"/>
  <w15:chartTrackingRefBased/>
  <w15:docId w15:val="{C0C72600-03BC-4C94-BB04-C89C9A04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E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4E61"/>
    <w:pPr>
      <w:tabs>
        <w:tab w:val="center" w:pos="4320"/>
        <w:tab w:val="right" w:pos="8640"/>
      </w:tabs>
    </w:pPr>
  </w:style>
  <w:style w:type="character" w:customStyle="1" w:styleId="HeaderChar">
    <w:name w:val="Header Char"/>
    <w:basedOn w:val="DefaultParagraphFont"/>
    <w:link w:val="Header"/>
    <w:rsid w:val="00D14E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A37FF"/>
    <w:pPr>
      <w:tabs>
        <w:tab w:val="center" w:pos="4513"/>
        <w:tab w:val="right" w:pos="9026"/>
      </w:tabs>
    </w:pPr>
  </w:style>
  <w:style w:type="character" w:customStyle="1" w:styleId="FooterChar">
    <w:name w:val="Footer Char"/>
    <w:basedOn w:val="DefaultParagraphFont"/>
    <w:link w:val="Footer"/>
    <w:uiPriority w:val="99"/>
    <w:rsid w:val="00DA37F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A37FF"/>
    <w:rPr>
      <w:color w:val="0563C1" w:themeColor="hyperlink"/>
      <w:u w:val="single"/>
    </w:rPr>
  </w:style>
  <w:style w:type="paragraph" w:styleId="NormalWeb">
    <w:name w:val="Normal (Web)"/>
    <w:basedOn w:val="Normal"/>
    <w:unhideWhenUsed/>
    <w:rsid w:val="00DA37FF"/>
    <w:pPr>
      <w:spacing w:before="100" w:beforeAutospacing="1" w:after="100" w:afterAutospacing="1"/>
    </w:pPr>
  </w:style>
  <w:style w:type="character" w:styleId="UnresolvedMention">
    <w:name w:val="Unresolved Mention"/>
    <w:basedOn w:val="DefaultParagraphFont"/>
    <w:uiPriority w:val="99"/>
    <w:semiHidden/>
    <w:unhideWhenUsed/>
    <w:rsid w:val="00DA3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dvice.jobs.ac.uk/cv-and-cover-letter-advice/how-to-write-a-flawless-cover-letter-in-2020/" TargetMode="External"/><Relationship Id="rId3" Type="http://schemas.openxmlformats.org/officeDocument/2006/relationships/settings" Target="settings.xml"/><Relationship Id="rId7" Type="http://schemas.openxmlformats.org/officeDocument/2006/relationships/hyperlink" Target="mailto:recruitment@sam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d.co.uk/career-advice/how-to-write-a-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2</cp:revision>
  <dcterms:created xsi:type="dcterms:W3CDTF">2023-01-12T08:59:00Z</dcterms:created>
  <dcterms:modified xsi:type="dcterms:W3CDTF">2023-01-12T08:59:00Z</dcterms:modified>
</cp:coreProperties>
</file>